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800"/>
      </w:pPr>
      <w:r>
        <w:t xml:space="preserve"/>
      </w:r>
    </w:p>
    <w:p>
      <w:pPr>
        <w:spacing w:after="100"/>
        <w:jc w:val="center"/>
      </w:pPr>
      <w:r>
        <w:rPr>
          <w:rFonts w:ascii="Calibri" w:cs="Calibri" w:eastAsia="Calibri" w:hAnsi="Calibri"/>
          <w:b/>
          <w:bCs/>
          <w:color w:val="E37400"/>
          <w:sz w:val="24"/>
          <w:szCs w:val="24"/>
        </w:rPr>
        <w:t xml:space="preserve">MANUAL PRÁCTICO</w:t>
      </w:r>
    </w:p>
    <w:p>
      <w:pPr>
        <w:spacing w:after="60"/>
        <w:jc w:val="center"/>
      </w:pPr>
      <w:r>
        <w:rPr>
          <w:rFonts w:ascii="Calibri" w:cs="Calibri" w:eastAsia="Calibri" w:hAnsi="Calibri"/>
          <w:b/>
          <w:bCs/>
          <w:color w:val="174EA6"/>
          <w:sz w:val="56"/>
          <w:szCs w:val="56"/>
        </w:rPr>
        <w:t xml:space="preserve">Dimensiones en Google Analytics 4</w:t>
      </w:r>
    </w:p>
    <w:p>
      <w:pPr>
        <w:pBdr>
          <w:top w:val="single" w:color="1A73E8" w:sz="12" w:space="12"/>
        </w:pBdr>
        <w:spacing w:after="400"/>
        <w:jc w:val="center"/>
      </w:pPr>
      <w:r>
        <w:rPr>
          <w:rFonts w:ascii="Calibri" w:cs="Calibri" w:eastAsia="Calibri" w:hAnsi="Calibri"/>
          <w:i/>
          <w:iCs/>
          <w:color w:val="5F6368"/>
          <w:sz w:val="24"/>
          <w:szCs w:val="24"/>
        </w:rPr>
        <w:t xml:space="preserve">El arte de cruzar datos para responder preguntas de negocio</w:t>
      </w:r>
    </w:p>
    <w:p>
      <w:pPr>
        <w:spacing w:after="120"/>
        <w:jc w:val="center"/>
      </w:pPr>
      <w:r>
        <w:rPr>
          <w:rFonts w:ascii="Calibri" w:cs="Calibri" w:eastAsia="Calibri" w:hAnsi="Calibri"/>
          <w:b/>
          <w:bCs/>
          <w:color w:val="202124"/>
          <w:sz w:val="22"/>
          <w:szCs w:val="22"/>
        </w:rPr>
        <w:t xml:space="preserve">18 ejercicios prácticos resueltos</w:t>
      </w:r>
    </w:p>
    <w:p>
      <w:pPr>
        <w:spacing w:after="1200"/>
        <w:jc w:val="center"/>
      </w:pPr>
      <w:r>
        <w:rPr>
          <w:rFonts w:ascii="Calibri" w:cs="Calibri" w:eastAsia="Calibri" w:hAnsi="Calibri"/>
          <w:color w:val="5F6368"/>
          <w:sz w:val="20"/>
          <w:szCs w:val="20"/>
        </w:rPr>
        <w:t xml:space="preserve">Casos reales sobre propiedades de formación</w:t>
      </w:r>
    </w:p>
    <w:p>
      <w:pPr>
        <w:jc w:val="center"/>
      </w:pPr>
      <w:r>
        <w:rPr>
          <w:rFonts w:ascii="Calibri" w:cs="Calibri" w:eastAsia="Calibri" w:hAnsi="Calibri"/>
          <w:color w:val="5F6368"/>
          <w:sz w:val="20"/>
          <w:szCs w:val="20"/>
        </w:rPr>
        <w:t xml:space="preserve">Julio 2026</w:t>
      </w:r>
    </w:p>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Índice</w:t>
      </w:r>
    </w:p>
    <w:sdt>
      <w:sdtPr>
        <w:alias w:val="Contenido"/>
      </w:sdtPr>
      <w:sdtContent>
        <w:p>
          <w:r>
            <w:fldChar w:fldCharType="begin" w:dirty="true"/>
            <w:instrText xml:space="preserve">TOC \h \o "1-2"</w:instrText>
            <w:fldChar w:fldCharType="separate"/>
          </w:r>
        </w:p>
        <w:p>
          <w:r>
            <w:fldChar w:fldCharType="end"/>
          </w:r>
        </w:p>
      </w:sdtContent>
    </w:sdt>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1. El concepto: describir frente a contar</w:t>
      </w:r>
    </w:p>
    <w:p>
      <w:pPr>
        <w:spacing w:after="120" w:before="60" w:line="276"/>
      </w:pPr>
      <w:r>
        <w:rPr>
          <w:rFonts w:ascii="Calibri" w:cs="Calibri" w:eastAsia="Calibri" w:hAnsi="Calibri"/>
          <w:color w:val="202124"/>
          <w:sz w:val="21"/>
          <w:szCs w:val="21"/>
        </w:rPr>
        <w:t xml:space="preserve">Todo Google Analytics 4 se sostiene sobre dos tipos de datos. Entenderlos es la diferencia entre mirar informes y analizarlos.</w:t>
      </w:r>
    </w:p>
    <w:p>
      <w:pPr>
        <w:spacing w:after="160" w:before="160" w:line="276"/>
        <w:jc w:val="center"/>
      </w:pPr>
      <w:r>
        <w:rPr>
          <w:rFonts w:ascii="Calibri" w:cs="Calibri" w:eastAsia="Calibri" w:hAnsi="Calibri"/>
          <w:b/>
          <w:bCs/>
          <w:color w:val="174EA6"/>
          <w:sz w:val="24"/>
          <w:szCs w:val="24"/>
        </w:rPr>
        <w:t xml:space="preserve">Una dimensión describe. Una métrica cuenta.</w:t>
      </w:r>
    </w:p>
    <w:p>
      <w:pPr>
        <w:spacing w:after="120" w:before="60" w:line="276"/>
      </w:pPr>
      <w:r>
        <w:rPr>
          <w:rFonts w:ascii="Calibri" w:cs="Calibri" w:eastAsia="Calibri" w:hAnsi="Calibri"/>
          <w:color w:val="202124"/>
          <w:sz w:val="21"/>
          <w:szCs w:val="21"/>
        </w:rPr>
        <w:t xml:space="preserve">Si piensas en una hoja de cálculo, las dimensiones son las filas: los cajones en los que partes tus datos. Las métricas son las columnas numéricas: lo que mides dentro de cada cajón. Cambiar la dimensión cambia la forma de la tabla; cambiar la métrica cambia lo que estás midiendo.</w:t>
      </w:r>
    </w:p>
    <w:p>
      <w:pPr>
        <w:pStyle w:val="Heading2"/>
        <w:spacing w:after="140" w:before="280"/>
      </w:pPr>
      <w:r>
        <w:rPr>
          <w:rFonts w:ascii="Calibri" w:cs="Calibri" w:eastAsia="Calibri" w:hAnsi="Calibri"/>
          <w:b/>
          <w:bCs/>
          <w:color w:val="1A73E8"/>
          <w:sz w:val="26"/>
          <w:szCs w:val="26"/>
        </w:rPr>
        <w:t xml:space="preserve">1.1 Cómo distinguirlas en un segundo</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200"/>
        <w:gridCol w:w="3600"/>
        <w:gridCol w:w="2560"/>
      </w:tblGrid>
      <w:tr>
        <w:trPr>
          <w:tblHeader/>
        </w:trPr>
        <w:tc>
          <w:tcPr>
            <w:tcW w:type="dxa" w:w="32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Pregunta</w:t>
            </w:r>
          </w:p>
        </w:tc>
        <w:tc>
          <w:tcPr>
            <w:tcW w:type="dxa" w:w="3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Respuesta</w:t>
            </w:r>
          </w:p>
        </w:tc>
        <w:tc>
          <w:tcPr>
            <w:tcW w:type="dxa" w:w="25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Tipo</w:t>
            </w:r>
          </w:p>
        </w:tc>
      </w:tr>
      <w:tr>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¿Qué página vieron?</w:t>
            </w:r>
          </w:p>
        </w:tc>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2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Dimensión</w:t>
            </w:r>
          </w:p>
        </w:tc>
      </w:tr>
      <w:tr>
        <w:tc>
          <w:tcPr>
            <w:tcW w:type="dxa" w:w="3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¿Cuántas veces la vieron?</w:t>
            </w:r>
          </w:p>
        </w:tc>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34</w:t>
            </w:r>
          </w:p>
        </w:tc>
        <w:tc>
          <w:tcPr>
            <w:tcW w:type="dxa" w:w="2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Métrica</w:t>
            </w:r>
          </w:p>
        </w:tc>
      </w:tr>
      <w:tr>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¿De dónde venían?</w:t>
            </w:r>
          </w:p>
        </w:tc>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google / organic</w:t>
            </w:r>
          </w:p>
        </w:tc>
        <w:tc>
          <w:tcPr>
            <w:tcW w:type="dxa" w:w="2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Dimensión</w:t>
            </w:r>
          </w:p>
        </w:tc>
      </w:tr>
      <w:tr>
        <w:tc>
          <w:tcPr>
            <w:tcW w:type="dxa" w:w="3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¿Cuánto tiempo estuvieron?</w:t>
            </w:r>
          </w:p>
        </w:tc>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47 segundos</w:t>
            </w:r>
          </w:p>
        </w:tc>
        <w:tc>
          <w:tcPr>
            <w:tcW w:type="dxa" w:w="2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Métrica</w:t>
            </w:r>
          </w:p>
        </w:tc>
      </w:tr>
      <w:tr>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 qué dispositivo?</w:t>
            </w:r>
          </w:p>
        </w:tc>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mobile</w:t>
            </w:r>
          </w:p>
        </w:tc>
        <w:tc>
          <w:tcPr>
            <w:tcW w:type="dxa" w:w="2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Dimensión</w:t>
            </w:r>
          </w:p>
        </w:tc>
      </w:tr>
      <w:tr>
        <w:tc>
          <w:tcPr>
            <w:tcW w:type="dxa" w:w="3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¿Cuántos convirtieron?</w:t>
            </w:r>
          </w:p>
        </w:tc>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3</w:t>
            </w:r>
          </w:p>
        </w:tc>
        <w:tc>
          <w:tcPr>
            <w:tcW w:type="dxa" w:w="2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Métrica</w:t>
            </w:r>
          </w:p>
        </w:tc>
      </w:tr>
    </w:tbl>
    <w:p>
      <w:pPr>
        <w:spacing w:after="120" w:before="0"/>
      </w:pPr>
      <w:r>
        <w:t xml:space="preserve"/>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Test rápido para el aula</w:t>
            </w:r>
          </w:p>
          <w:p>
            <w:pPr>
              <w:spacing w:after="0" w:before="0" w:line="260"/>
            </w:pPr>
            <w:r>
              <w:rPr>
                <w:rFonts w:ascii="Calibri" w:cs="Calibri" w:eastAsia="Calibri" w:hAnsi="Calibri"/>
                <w:color w:val="202124"/>
                <w:sz w:val="19"/>
                <w:szCs w:val="19"/>
              </w:rPr>
              <w:t xml:space="preserve">Si puedes sumarlo, es una métrica. Si puedes filtrar o agrupar por ello, es una dimensión. "España" no se puede sumar; 41 sesiones sí. Este test resuelve el 95 % de las dudas.</w:t>
            </w:r>
          </w:p>
        </w:tc>
      </w:tr>
    </w:tbl>
    <w:p>
      <w:pPr>
        <w:pStyle w:val="Heading2"/>
        <w:spacing w:after="140" w:before="280"/>
      </w:pPr>
      <w:r>
        <w:rPr>
          <w:rFonts w:ascii="Calibri" w:cs="Calibri" w:eastAsia="Calibri" w:hAnsi="Calibri"/>
          <w:b/>
          <w:bCs/>
          <w:color w:val="1A73E8"/>
          <w:sz w:val="26"/>
          <w:szCs w:val="26"/>
        </w:rPr>
        <w:t xml:space="preserve">1.2 Por qué una dimensión sola no dice nada</w:t>
      </w:r>
    </w:p>
    <w:p>
      <w:pPr>
        <w:spacing w:after="120" w:before="60" w:line="276"/>
      </w:pPr>
      <w:r>
        <w:rPr>
          <w:rFonts w:ascii="Calibri" w:cs="Calibri" w:eastAsia="Calibri" w:hAnsi="Calibri"/>
          <w:color w:val="202124"/>
          <w:sz w:val="21"/>
          <w:szCs w:val="21"/>
        </w:rPr>
        <w:t xml:space="preserve">Una dimensión sin métrica es una lista. Una métrica sin dimensión es un número sin contexto. El análisis nace cuando se combinan, y se vuelve potente cuando combinas dos dimensiones a la vez.</w:t>
      </w:r>
    </w:p>
    <w:p>
      <w:pPr>
        <w:spacing w:after="120" w:before="60" w:line="276"/>
      </w:pPr>
      <w:r>
        <w:rPr>
          <w:rFonts w:ascii="Calibri" w:cs="Calibri" w:eastAsia="Calibri" w:hAnsi="Calibri"/>
          <w:color w:val="202124"/>
          <w:sz w:val="21"/>
          <w:szCs w:val="21"/>
        </w:rPr>
        <w:t xml:space="preserve">Ejemplo: saber que tienes 124 sesiones no sirve para nada. Saber que 41 vienen de búsqueda orgánica española y 10 de bots en India cambia por completo lo que vas a hacer el lunes por la mañana.</w:t>
      </w:r>
    </w:p>
    <w:p>
      <w:pPr>
        <w:pStyle w:val="Heading1"/>
        <w:pBdr>
          <w:bottom w:val="single" w:color="1A73E8" w:sz="12" w:space="6"/>
        </w:pBdr>
        <w:spacing w:after="180" w:before="360"/>
      </w:pPr>
      <w:r>
        <w:rPr>
          <w:rFonts w:ascii="Calibri" w:cs="Calibri" w:eastAsia="Calibri" w:hAnsi="Calibri"/>
          <w:b/>
          <w:bCs/>
          <w:color w:val="174EA6"/>
          <w:sz w:val="32"/>
          <w:szCs w:val="32"/>
        </w:rPr>
        <w:t xml:space="preserve">2. Los tres ámbitos de una dimensión</w:t>
      </w:r>
    </w:p>
    <w:p>
      <w:pPr>
        <w:spacing w:after="120" w:before="60" w:line="276"/>
      </w:pPr>
      <w:r>
        <w:rPr>
          <w:rFonts w:ascii="Calibri" w:cs="Calibri" w:eastAsia="Calibri" w:hAnsi="Calibri"/>
          <w:color w:val="202124"/>
          <w:sz w:val="21"/>
          <w:szCs w:val="21"/>
        </w:rPr>
        <w:t xml:space="preserve">Este es el punto que más confusión genera y el que explica la mayoría de resultados extraños. Cada dimensión tiene un ámbito (scope) que determina cuándo se fija su valor y cuánto dura.</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1600"/>
        <w:gridCol w:w="3900"/>
        <w:gridCol w:w="3860"/>
      </w:tblGrid>
      <w:tr>
        <w:trPr>
          <w:tblHeader/>
        </w:trPr>
        <w:tc>
          <w:tcPr>
            <w:tcW w:type="dxa" w:w="1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Ámbito</w:t>
            </w:r>
          </w:p>
        </w:tc>
        <w:tc>
          <w:tcPr>
            <w:tcW w:type="dxa" w:w="39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Ejemplos de dimensiones</w:t>
            </w:r>
          </w:p>
        </w:tc>
        <w:tc>
          <w:tcPr>
            <w:tcW w:type="dxa" w:w="38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Cuándo se fija el valor</w:t>
            </w:r>
          </w:p>
        </w:tc>
      </w:tr>
      <w:tr>
        <w:tc>
          <w:tcPr>
            <w:tcW w:type="dxa" w:w="1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w:t>
            </w:r>
          </w:p>
        </w:tc>
        <w:tc>
          <w:tcPr>
            <w:tcW w:type="dxa" w:w="3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País, Fuente/medio de la primera visita, Categoría de dispositivo</w:t>
            </w:r>
          </w:p>
        </w:tc>
        <w:tc>
          <w:tcPr>
            <w:tcW w:type="dxa" w:w="38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 asigna al usuario y se mantiene durante toda su vida en la propiedad</w:t>
            </w:r>
          </w:p>
        </w:tc>
      </w:tr>
      <w:tr>
        <w:tc>
          <w:tcPr>
            <w:tcW w:type="dxa" w:w="1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Sesión</w:t>
            </w:r>
          </w:p>
        </w:tc>
        <w:tc>
          <w:tcPr>
            <w:tcW w:type="dxa" w:w="3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Fuente/medio de la sesión, Campaña de la sesión, Grupo de canales</w:t>
            </w:r>
          </w:p>
        </w:tc>
        <w:tc>
          <w:tcPr>
            <w:tcW w:type="dxa" w:w="38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 fija al inicio de cada sesión y no cambia hasta la siguiente</w:t>
            </w:r>
          </w:p>
        </w:tc>
      </w:tr>
      <w:tr>
        <w:tc>
          <w:tcPr>
            <w:tcW w:type="dxa" w:w="1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Evento</w:t>
            </w:r>
          </w:p>
        </w:tc>
        <w:tc>
          <w:tcPr>
            <w:tcW w:type="dxa" w:w="3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Ruta de página, Título de página, Nombre del evento</w:t>
            </w:r>
          </w:p>
        </w:tc>
        <w:tc>
          <w:tcPr>
            <w:tcW w:type="dxa" w:w="38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Cambia con cada evento individual dentro de la misma sesión</w:t>
            </w:r>
          </w:p>
        </w:tc>
      </w:tr>
    </w:tbl>
    <w:p>
      <w:pPr>
        <w:spacing w:after="120" w:before="0"/>
      </w:pPr>
      <w:r>
        <w:t xml:space="preserve"/>
      </w:r>
    </w:p>
    <w:p>
      <w:pPr>
        <w:pStyle w:val="Heading2"/>
        <w:spacing w:after="140" w:before="280"/>
      </w:pPr>
      <w:r>
        <w:rPr>
          <w:rFonts w:ascii="Calibri" w:cs="Calibri" w:eastAsia="Calibri" w:hAnsi="Calibri"/>
          <w:b/>
          <w:bCs/>
          <w:color w:val="1A73E8"/>
          <w:sz w:val="26"/>
          <w:szCs w:val="26"/>
        </w:rPr>
        <w:t xml:space="preserve">2.1 Por qué esto genera resultados que parecen erróneos</w:t>
      </w:r>
    </w:p>
    <w:p>
      <w:pPr>
        <w:spacing w:after="120" w:before="60" w:line="276"/>
      </w:pPr>
      <w:r>
        <w:rPr>
          <w:rFonts w:ascii="Calibri" w:cs="Calibri" w:eastAsia="Calibri" w:hAnsi="Calibri"/>
          <w:color w:val="202124"/>
          <w:sz w:val="21"/>
          <w:szCs w:val="21"/>
        </w:rPr>
        <w:t xml:space="preserve">Cuando cruzas dos dimensiones de ámbitos distintos, GA4 tiene que decidir cómo casarlas, y el resultado no siempre es intuitivo.</w:t>
      </w:r>
    </w:p>
    <w:p>
      <w:pPr>
        <w:spacing w:after="120" w:before="60" w:line="276"/>
      </w:pPr>
      <w:r>
        <w:rPr>
          <w:rFonts w:ascii="Calibri" w:cs="Calibri" w:eastAsia="Calibri" w:hAnsi="Calibri"/>
          <w:color w:val="202124"/>
          <w:sz w:val="21"/>
          <w:szCs w:val="21"/>
        </w:rPr>
        <w:t xml:space="preserve">Caso típico: cruzas "Ruta de página" (ámbito evento) con "Fuente/medio de la sesión" (ámbito sesión). Un usuario entra desde Google, ve cinco páginas y en la tercera hace clic en un enlace de un email que tenía abierto. GA4 atribuye las cinco páginas a la fuente de la sesión, no a la fuente del momento exacto de cada página. Las cifras están bien; lo que falla es la expectativa.</w:t>
      </w:r>
    </w:p>
    <w:tbl>
      <w:tblPr>
        <w:tblW w:type="dxa" w:w="9360"/>
        <w:tblBorders>
          <w:top w:val="single" w:color="E37400" w:sz="4"/>
          <w:left w:val="single" w:color="E37400" w:sz="24"/>
          <w:bottom w:val="single" w:color="E37400" w:sz="4"/>
          <w:right w:val="single" w:color="E37400"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E37400"/>
                <w:sz w:val="20"/>
                <w:szCs w:val="20"/>
              </w:rPr>
              <w:t xml:space="preserve">⚠️  Regla de oro</w:t>
            </w:r>
          </w:p>
          <w:p>
            <w:pPr>
              <w:spacing w:after="0" w:before="0" w:line="260"/>
            </w:pPr>
            <w:r>
              <w:rPr>
                <w:rFonts w:ascii="Calibri" w:cs="Calibri" w:eastAsia="Calibri" w:hAnsi="Calibri"/>
                <w:color w:val="202124"/>
                <w:sz w:val="19"/>
                <w:szCs w:val="19"/>
              </w:rPr>
              <w:t xml:space="preserve">Antes de interpretar un cruce, pregúntate a qué ámbito pertenece cada dimensión. Si una es de sesión y otra de evento, la de sesión "manda" sobre todos los eventos de esa sesión. Ignorar esto lleva a conclusiones falsas que parecen sólidas.</w:t>
            </w:r>
          </w:p>
        </w:tc>
      </w:tr>
    </w:tbl>
    <w:p>
      <w:pPr>
        <w:pStyle w:val="Heading2"/>
        <w:spacing w:after="140" w:before="280"/>
      </w:pPr>
      <w:r>
        <w:rPr>
          <w:rFonts w:ascii="Calibri" w:cs="Calibri" w:eastAsia="Calibri" w:hAnsi="Calibri"/>
          <w:b/>
          <w:bCs/>
          <w:color w:val="1A73E8"/>
          <w:sz w:val="26"/>
          <w:szCs w:val="26"/>
        </w:rPr>
        <w:t xml:space="preserve">2.2 Dimensiones predefinidas y personalizadas</w:t>
      </w:r>
    </w:p>
    <w:p>
      <w:pPr>
        <w:spacing w:after="120" w:before="60" w:line="276"/>
      </w:pPr>
      <w:r>
        <w:rPr>
          <w:rFonts w:ascii="Calibri" w:cs="Calibri" w:eastAsia="Calibri" w:hAnsi="Calibri"/>
          <w:color w:val="202124"/>
          <w:sz w:val="21"/>
          <w:szCs w:val="21"/>
        </w:rPr>
        <w:t xml:space="preserve">GA4 trae cientos de dimensiones predefinidas. Cuando envías parámetros propios en tus eventos (por ejemplo, el tipo de inmueble en un evento de contacto), necesitas registrarlos como dimensión personalizada en Administrar → Definiciones personalizadas para poder usarlos en informes.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4400"/>
        <w:gridCol w:w="2480"/>
        <w:gridCol w:w="2480"/>
      </w:tblGrid>
      <w:tr>
        <w:trPr>
          <w:tblHeader/>
        </w:trPr>
        <w:tc>
          <w:tcPr>
            <w:tcW w:type="dxa" w:w="4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Recurso</w:t>
            </w:r>
          </w:p>
        </w:tc>
        <w:tc>
          <w:tcPr>
            <w:tcW w:type="dxa" w:w="24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Límite en GA4 gratuito</w:t>
            </w:r>
          </w:p>
        </w:tc>
        <w:tc>
          <w:tcPr>
            <w:tcW w:type="dxa" w:w="24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Límite en GA4 360</w:t>
            </w:r>
          </w:p>
        </w:tc>
      </w:tr>
      <w:tr>
        <w:tc>
          <w:tcPr>
            <w:tcW w:type="dxa" w:w="4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Dimensiones personalizadas de evento</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50</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125</w:t>
            </w:r>
          </w:p>
        </w:tc>
      </w:tr>
      <w:tr>
        <w:tc>
          <w:tcPr>
            <w:tcW w:type="dxa" w:w="4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Dimensiones personalizadas de usuario</w:t>
            </w:r>
          </w:p>
        </w:tc>
        <w:tc>
          <w:tcPr>
            <w:tcW w:type="dxa" w:w="24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25</w:t>
            </w:r>
          </w:p>
        </w:tc>
        <w:tc>
          <w:tcPr>
            <w:tcW w:type="dxa" w:w="24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100</w:t>
            </w:r>
          </w:p>
        </w:tc>
      </w:tr>
      <w:tr>
        <w:tc>
          <w:tcPr>
            <w:tcW w:type="dxa" w:w="4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Métricas personalizadas</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50</w:t>
            </w:r>
          </w:p>
        </w:tc>
        <w:tc>
          <w:tcPr>
            <w:tcW w:type="dxa" w:w="24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125</w:t>
            </w:r>
          </w:p>
        </w:tc>
      </w:tr>
    </w:tbl>
    <w:p>
      <w:pPr>
        <w:spacing w:after="120" w:before="0"/>
      </w:pPr>
      <w:r>
        <w:t xml:space="preserve"/>
      </w:r>
    </w:p>
    <w:tbl>
      <w:tblPr>
        <w:tblW w:type="dxa" w:w="9360"/>
        <w:tblBorders>
          <w:top w:val="single" w:color="E37400" w:sz="4"/>
          <w:left w:val="single" w:color="E37400" w:sz="24"/>
          <w:bottom w:val="single" w:color="E37400" w:sz="4"/>
          <w:right w:val="single" w:color="E37400"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E37400"/>
                <w:sz w:val="20"/>
                <w:szCs w:val="20"/>
              </w:rPr>
              <w:t xml:space="preserve">⚠️  Paciencia obligatoria</w:t>
            </w:r>
          </w:p>
          <w:p>
            <w:pPr>
              <w:spacing w:after="0" w:before="0" w:line="260"/>
            </w:pPr>
            <w:r>
              <w:rPr>
                <w:rFonts w:ascii="Calibri" w:cs="Calibri" w:eastAsia="Calibri" w:hAnsi="Calibri"/>
                <w:color w:val="202124"/>
                <w:sz w:val="19"/>
                <w:szCs w:val="19"/>
              </w:rPr>
              <w:t xml:space="preserve">Una dimensión personalizada recién creada tarda entre 24 y 48 horas en mostrar datos, y nunca es retroactiva: solo recoge lo que llegue a partir del momento de su creación. Créala antes de necesitarla.</w:t>
            </w:r>
          </w:p>
        </w:tc>
      </w:tr>
    </w:tbl>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3. Dimensión principal y dimensión secundaria</w:t>
      </w:r>
    </w:p>
    <w:p>
      <w:pPr>
        <w:spacing w:after="120" w:before="60" w:line="276"/>
      </w:pPr>
      <w:r>
        <w:rPr>
          <w:rFonts w:ascii="Calibri" w:cs="Calibri" w:eastAsia="Calibri" w:hAnsi="Calibri"/>
          <w:color w:val="202124"/>
          <w:sz w:val="21"/>
          <w:szCs w:val="21"/>
        </w:rPr>
        <w:t xml:space="preserve">Todo informe estándar de GA4 se organiza alrededor de una dimensión principal. Añadir una segunda dimensión es lo que llamamos "cruzar", y es la técnica central de este manual.</w:t>
      </w:r>
    </w:p>
    <w:p>
      <w:pPr>
        <w:pStyle w:val="Heading2"/>
        <w:spacing w:after="140" w:before="280"/>
      </w:pPr>
      <w:r>
        <w:rPr>
          <w:rFonts w:ascii="Calibri" w:cs="Calibri" w:eastAsia="Calibri" w:hAnsi="Calibri"/>
          <w:b/>
          <w:bCs/>
          <w:color w:val="1A73E8"/>
          <w:sz w:val="26"/>
          <w:szCs w:val="26"/>
        </w:rPr>
        <w:t xml:space="preserve">3.1 Las dos operaciones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700"/>
        <w:gridCol w:w="3200"/>
        <w:gridCol w:w="3460"/>
      </w:tblGrid>
      <w:tr>
        <w:trPr>
          <w:tblHeader/>
        </w:trPr>
        <w:tc>
          <w:tcPr>
            <w:tcW w:type="dxa" w:w="27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Operación</w:t>
            </w:r>
          </w:p>
        </w:tc>
        <w:tc>
          <w:tcPr>
            <w:tcW w:type="dxa" w:w="32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Dónde se hace</w:t>
            </w:r>
          </w:p>
        </w:tc>
        <w:tc>
          <w:tcPr>
            <w:tcW w:type="dxa" w:w="34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consigue</w:t>
            </w:r>
          </w:p>
        </w:tc>
      </w:tr>
      <w:tr>
        <w:tc>
          <w:tcPr>
            <w:tcW w:type="dxa" w:w="2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Cambiar la dimensión principal</w:t>
            </w:r>
          </w:p>
        </w:tc>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Desplegable sobre la primera columna de la tabla</w:t>
            </w:r>
          </w:p>
        </w:tc>
        <w:tc>
          <w:tcPr>
            <w:tcW w:type="dxa" w:w="34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Reorganiza el informe completo alrededor de otro criterio</w:t>
            </w:r>
          </w:p>
        </w:tc>
      </w:tr>
      <w:tr>
        <w:tc>
          <w:tcPr>
            <w:tcW w:type="dxa" w:w="2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Añadir dimensión secundaria</w:t>
            </w:r>
          </w:p>
        </w:tc>
        <w:tc>
          <w:tcPr>
            <w:tcW w:type="dxa" w:w="3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Botón + azul junto a la cabecera de la primera columna</w:t>
            </w:r>
          </w:p>
        </w:tc>
        <w:tc>
          <w:tcPr>
            <w:tcW w:type="dxa" w:w="34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Divide cada fila en tantas filas como valores tenga la segunda dimensión</w:t>
            </w:r>
          </w:p>
        </w:tc>
      </w:tr>
    </w:tbl>
    <w:p>
      <w:pPr>
        <w:spacing w:after="120" w:before="0"/>
      </w:pPr>
      <w:r>
        <w:t xml:space="preserve"/>
      </w:r>
    </w:p>
    <w:p>
      <w:pPr>
        <w:spacing w:after="120" w:before="60" w:line="276"/>
      </w:pPr>
      <w:r>
        <w:rPr>
          <w:rFonts w:ascii="Calibri" w:cs="Calibri" w:eastAsia="Calibri" w:hAnsi="Calibri"/>
          <w:color w:val="202124"/>
          <w:sz w:val="21"/>
          <w:szCs w:val="21"/>
        </w:rPr>
        <w:t xml:space="preserve">El botón + abre un buscador. Hay cientos de dimensiones disponibles, así que se escribe el nombre en lugar de recorrer la lista. Este detalle, que parece menor, es el que impide a muchos alumnos avanzar por su cuenta.</w:t>
      </w:r>
    </w:p>
    <w:p>
      <w:pPr>
        <w:pStyle w:val="Heading2"/>
        <w:spacing w:after="140" w:before="280"/>
      </w:pPr>
      <w:r>
        <w:rPr>
          <w:rFonts w:ascii="Calibri" w:cs="Calibri" w:eastAsia="Calibri" w:hAnsi="Calibri"/>
          <w:b/>
          <w:bCs/>
          <w:color w:val="1A73E8"/>
          <w:sz w:val="26"/>
          <w:szCs w:val="26"/>
        </w:rPr>
        <w:t xml:space="preserve">3.2 El concepto que hay que fijar: las métricas no cambian, se reparten</w:t>
      </w:r>
    </w:p>
    <w:p>
      <w:pPr>
        <w:spacing w:after="120" w:before="60" w:line="276"/>
      </w:pPr>
      <w:r>
        <w:rPr>
          <w:rFonts w:ascii="Calibri" w:cs="Calibri" w:eastAsia="Calibri" w:hAnsi="Calibri"/>
          <w:color w:val="202124"/>
          <w:sz w:val="21"/>
          <w:szCs w:val="21"/>
        </w:rPr>
        <w:t xml:space="preserve">Al añadir una dimensión secundaria, la tabla pasa de 12 filas a 68. Es normal alarmarse, pero no se han creado datos nuevos: los mismos datos se han troceado más fino.</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000"/>
        <w:gridCol w:w="3180"/>
        <w:gridCol w:w="3180"/>
      </w:tblGrid>
      <w:tr>
        <w:trPr>
          <w:tblHeader/>
        </w:trPr>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
            </w:r>
          </w:p>
        </w:tc>
        <w:tc>
          <w:tcPr>
            <w:tcW w:type="dxa" w:w="31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Sin dimensión secundaria</w:t>
            </w:r>
          </w:p>
        </w:tc>
        <w:tc>
          <w:tcPr>
            <w:tcW w:type="dxa" w:w="318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Con Fuente/medio como secundaria</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Número de filas</w:t>
            </w:r>
          </w:p>
        </w:tc>
        <w:tc>
          <w:tcPr>
            <w:tcW w:type="dxa" w:w="31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12</w:t>
            </w:r>
          </w:p>
        </w:tc>
        <w:tc>
          <w:tcPr>
            <w:tcW w:type="dxa" w:w="31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68</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Total de sesiones</w:t>
            </w:r>
          </w:p>
        </w:tc>
        <w:tc>
          <w:tcPr>
            <w:tcW w:type="dxa" w:w="31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124</w:t>
            </w:r>
          </w:p>
        </w:tc>
        <w:tc>
          <w:tcPr>
            <w:tcW w:type="dxa" w:w="31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124</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Total usuarios activos</w:t>
            </w:r>
          </w:p>
        </w:tc>
        <w:tc>
          <w:tcPr>
            <w:tcW w:type="dxa" w:w="31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58</w:t>
            </w:r>
          </w:p>
        </w:tc>
        <w:tc>
          <w:tcPr>
            <w:tcW w:type="dxa" w:w="318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58</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Eventos clave</w:t>
            </w:r>
          </w:p>
        </w:tc>
        <w:tc>
          <w:tcPr>
            <w:tcW w:type="dxa" w:w="31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c>
          <w:tcPr>
            <w:tcW w:type="dxa" w:w="318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r>
    </w:tbl>
    <w:p>
      <w:pPr>
        <w:spacing w:after="120" w:before="0"/>
      </w:pPr>
      <w:r>
        <w:t xml:space="preserve"/>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Frase para la pizarra</w:t>
            </w:r>
          </w:p>
          <w:p>
            <w:pPr>
              <w:spacing w:after="0" w:before="0" w:line="260"/>
            </w:pPr>
            <w:r>
              <w:rPr>
                <w:rFonts w:ascii="Calibri" w:cs="Calibri" w:eastAsia="Calibri" w:hAnsi="Calibri"/>
                <w:color w:val="202124"/>
                <w:sz w:val="19"/>
                <w:szCs w:val="19"/>
              </w:rPr>
              <w:t xml:space="preserve">Cruzar dimensiones no añade información: la revela. Los datos ya estaban ahí, escondidos dentro de una media. El total nunca cambia; lo que cambia es tu capacidad de ver qué lo compone.</w:t>
            </w:r>
          </w:p>
        </w:tc>
      </w:tr>
    </w:tbl>
    <w:p>
      <w:pPr>
        <w:pStyle w:val="Heading2"/>
        <w:spacing w:after="140" w:before="280"/>
      </w:pPr>
      <w:r>
        <w:rPr>
          <w:rFonts w:ascii="Calibri" w:cs="Calibri" w:eastAsia="Calibri" w:hAnsi="Calibri"/>
          <w:b/>
          <w:bCs/>
          <w:color w:val="1A73E8"/>
          <w:sz w:val="26"/>
          <w:szCs w:val="26"/>
        </w:rPr>
        <w:t xml:space="preserve">3.3 Limitaciones que conviene conocer de entrada</w:t>
      </w:r>
    </w:p>
    <w:p>
      <w:pPr>
        <w:pStyle w:val="ListParagraph"/>
        <w:numPr>
          <w:ilvl w:val="0"/>
          <w:numId w:val="2"/>
        </w:numPr>
        <w:spacing w:after="60" w:before="40" w:line="260"/>
      </w:pPr>
      <w:r>
        <w:rPr>
          <w:rFonts w:ascii="Calibri" w:cs="Calibri" w:eastAsia="Calibri" w:hAnsi="Calibri"/>
          <w:color w:val="202124"/>
          <w:sz w:val="21"/>
          <w:szCs w:val="21"/>
        </w:rPr>
        <w:t xml:space="preserve">La dimensión secundaria no se guarda. Al salir del informe se pierde. Si vas a repetir el análisis cada semana, monta una Exploración o guarda una comparación.</w:t>
      </w:r>
    </w:p>
    <w:p>
      <w:pPr>
        <w:pStyle w:val="ListParagraph"/>
        <w:numPr>
          <w:ilvl w:val="0"/>
          <w:numId w:val="2"/>
        </w:numPr>
        <w:spacing w:after="60" w:before="40" w:line="260"/>
      </w:pPr>
      <w:r>
        <w:rPr>
          <w:rFonts w:ascii="Calibri" w:cs="Calibri" w:eastAsia="Calibri" w:hAnsi="Calibri"/>
          <w:color w:val="202124"/>
          <w:sz w:val="21"/>
          <w:szCs w:val="21"/>
        </w:rPr>
        <w:t xml:space="preserve">Solo se puede añadir una dimensión secundaria en informes estándar. Para tres o más dimensiones simultáneas hay que ir a Explorar.</w:t>
      </w:r>
    </w:p>
    <w:p>
      <w:pPr>
        <w:pStyle w:val="ListParagraph"/>
        <w:numPr>
          <w:ilvl w:val="0"/>
          <w:numId w:val="2"/>
        </w:numPr>
        <w:spacing w:after="60" w:before="40" w:line="260"/>
      </w:pPr>
      <w:r>
        <w:rPr>
          <w:rFonts w:ascii="Calibri" w:cs="Calibri" w:eastAsia="Calibri" w:hAnsi="Calibri"/>
          <w:color w:val="202124"/>
          <w:sz w:val="21"/>
          <w:szCs w:val="21"/>
        </w:rPr>
        <w:t xml:space="preserve">Cardinalidad alta: si una dimensión tiene miles de valores únicos, GA4 agrupa los menos frecuentes bajo la etiqueta (other) y ya no podrás desglosarlos.</w:t>
      </w:r>
    </w:p>
    <w:p>
      <w:pPr>
        <w:pStyle w:val="ListParagraph"/>
        <w:numPr>
          <w:ilvl w:val="0"/>
          <w:numId w:val="2"/>
        </w:numPr>
        <w:spacing w:after="60" w:before="40" w:line="260"/>
      </w:pPr>
      <w:r>
        <w:rPr>
          <w:rFonts w:ascii="Calibri" w:cs="Calibri" w:eastAsia="Calibri" w:hAnsi="Calibri"/>
          <w:color w:val="202124"/>
          <w:sz w:val="21"/>
          <w:szCs w:val="21"/>
        </w:rPr>
        <w:t xml:space="preserve">Umbrales de datos: con Google Signals activo y poco tráfico, GA4 oculta filas para evitar identificar usuarios individuales. Aparece un icono de aviso junto al rango de fechas.</w:t>
      </w:r>
    </w:p>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4. Ejercicio guiado: página de destino × fuente/medio</w:t>
      </w:r>
    </w:p>
    <w:p>
      <w:pPr>
        <w:spacing w:after="120" w:before="60" w:line="276"/>
      </w:pPr>
      <w:r>
        <w:rPr>
          <w:rFonts w:ascii="Calibri" w:cs="Calibri" w:eastAsia="Calibri" w:hAnsi="Calibri"/>
          <w:color w:val="202124"/>
          <w:sz w:val="21"/>
          <w:szCs w:val="21"/>
        </w:rPr>
        <w:t xml:space="preserve">Este es el ejercicio de referencia. Los demás cruces se resuelven con la misma mecánica, así que conviene hacerlo despacio y entender cada paso.</w:t>
      </w:r>
    </w:p>
    <w:p>
      <w:pPr>
        <w:spacing w:after="140" w:before="140" w:line="276"/>
      </w:pPr>
      <w:r>
        <w:rPr>
          <w:rFonts w:ascii="Calibri" w:cs="Calibri" w:eastAsia="Calibri" w:hAnsi="Calibri"/>
          <w:b/>
          <w:bCs/>
          <w:color w:val="174EA6"/>
          <w:sz w:val="21"/>
          <w:szCs w:val="21"/>
        </w:rPr>
        <w:t xml:space="preserve">Pregunta de negocio:  </w:t>
      </w:r>
      <w:r>
        <w:rPr>
          <w:rFonts w:ascii="Calibri" w:cs="Calibri" w:eastAsia="Calibri" w:hAnsi="Calibri"/>
          <w:i/>
          <w:iCs/>
          <w:color w:val="202124"/>
          <w:sz w:val="21"/>
          <w:szCs w:val="21"/>
        </w:rPr>
        <w:t xml:space="preserve">¿Qué landing debo optimizar y para qué canal?</w:t>
      </w:r>
    </w:p>
    <w:p>
      <w:pPr>
        <w:pStyle w:val="Heading2"/>
        <w:spacing w:after="140" w:before="280"/>
      </w:pPr>
      <w:r>
        <w:rPr>
          <w:rFonts w:ascii="Calibri" w:cs="Calibri" w:eastAsia="Calibri" w:hAnsi="Calibri"/>
          <w:b/>
          <w:bCs/>
          <w:color w:val="1A73E8"/>
          <w:sz w:val="26"/>
          <w:szCs w:val="26"/>
        </w:rPr>
        <w:t xml:space="preserve">4.1 Qué es exactamente una página de destino</w:t>
      </w:r>
    </w:p>
    <w:p>
      <w:pPr>
        <w:spacing w:after="120" w:before="60" w:line="276"/>
      </w:pPr>
      <w:r>
        <w:rPr>
          <w:rFonts w:ascii="Calibri" w:cs="Calibri" w:eastAsia="Calibri" w:hAnsi="Calibri"/>
          <w:color w:val="202124"/>
          <w:sz w:val="21"/>
          <w:szCs w:val="21"/>
        </w:rPr>
        <w:t xml:space="preserve">Antes de tocar nada hay que aclarar un malentendido habitual. La página de destino es la primera página de la sesión, no cualquier página vista. Es la puerta de entrada.</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400"/>
        <w:gridCol w:w="4200"/>
        <w:gridCol w:w="2760"/>
      </w:tblGrid>
      <w:tr>
        <w:trPr>
          <w:tblHeader/>
        </w:trPr>
        <w:tc>
          <w:tcPr>
            <w:tcW w:type="dxa" w:w="2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Informe</w:t>
            </w:r>
          </w:p>
        </w:tc>
        <w:tc>
          <w:tcPr>
            <w:tcW w:type="dxa" w:w="42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contiene</w:t>
            </w:r>
          </w:p>
        </w:tc>
        <w:tc>
          <w:tcPr>
            <w:tcW w:type="dxa" w:w="27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Cuándo usarlo</w:t>
            </w:r>
          </w:p>
        </w:tc>
      </w:tr>
      <w:tr>
        <w:tc>
          <w:tcPr>
            <w:tcW w:type="dxa" w:w="2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Páginas y pantallas</w:t>
            </w:r>
          </w:p>
        </w:tc>
        <w:tc>
          <w:tcPr>
            <w:tcW w:type="dxa" w:w="4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Todas las páginas vistas, estén donde estén del recorrido</w:t>
            </w:r>
          </w:p>
        </w:tc>
        <w:tc>
          <w:tcPr>
            <w:tcW w:type="dxa" w:w="2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Medir consumo de contenido</w:t>
            </w:r>
          </w:p>
        </w:tc>
      </w:tr>
      <w:tr>
        <w:tc>
          <w:tcPr>
            <w:tcW w:type="dxa" w:w="2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Página de destino</w:t>
            </w:r>
          </w:p>
        </w:tc>
        <w:tc>
          <w:tcPr>
            <w:tcW w:type="dxa" w:w="4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Solo la primera página de cada sesión</w:t>
            </w:r>
          </w:p>
        </w:tc>
        <w:tc>
          <w:tcPr>
            <w:tcW w:type="dxa" w:w="27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Medir captación y calidad de entrada</w:t>
            </w:r>
          </w:p>
        </w:tc>
      </w:tr>
    </w:tbl>
    <w:p>
      <w:pPr>
        <w:spacing w:after="120" w:before="0"/>
      </w:pPr>
      <w:r>
        <w:t xml:space="preserve"/>
      </w:r>
    </w:p>
    <w:p>
      <w:pPr>
        <w:pStyle w:val="Heading2"/>
        <w:spacing w:after="140" w:before="280"/>
      </w:pPr>
      <w:r>
        <w:rPr>
          <w:rFonts w:ascii="Calibri" w:cs="Calibri" w:eastAsia="Calibri" w:hAnsi="Calibri"/>
          <w:b/>
          <w:bCs/>
          <w:color w:val="1A73E8"/>
          <w:sz w:val="26"/>
          <w:szCs w:val="26"/>
        </w:rPr>
        <w:t xml:space="preserve">4.2 Procedimiento paso a paso</w:t>
      </w:r>
    </w:p>
    <w:tbl>
      <w:tblPr>
        <w:tblW w:type="dxa" w:w="9360"/>
        <w:tblBorders>
          <w:top w:val="single" w:color="DADCE0" w:sz="4"/>
          <w:left w:val="single" w:color="DADCE0" w:sz="4"/>
          <w:bottom w:val="single" w:color="DADCE0" w:sz="4"/>
          <w:right w:val="single" w:color="DADCE0" w:sz="4"/>
          <w:insideH w:val="none"/>
          <w:insideV w:val="single" w:color="DADCE0" w:sz="4"/>
        </w:tblBorders>
      </w:tblPr>
      <w:tblGrid>
        <w:gridCol w:w="700"/>
        <w:gridCol w:w="8660"/>
      </w:tblGrid>
      <w:tr>
        <w:tc>
          <w:tcPr>
            <w:tcW w:type="dxa" w:w="700"/>
            <w:shd w:fill="1A73E8" w:color="auto" w:val="clear"/>
            <w:tcMar>
              <w:top w:type="dxa" w:w="110"/>
              <w:left w:type="dxa" w:w="80"/>
              <w:bottom w:type="dxa" w:w="110"/>
              <w:right w:type="dxa" w:w="80"/>
            </w:tcMar>
            <w:vAlign w:val="center"/>
          </w:tcPr>
          <w:p>
            <w:pPr>
              <w:spacing w:after="0" w:before="0"/>
              <w:jc w:val="center"/>
            </w:pPr>
            <w:r>
              <w:rPr>
                <w:rFonts w:ascii="Calibri" w:cs="Calibri" w:eastAsia="Calibri" w:hAnsi="Calibri"/>
                <w:b/>
                <w:bCs/>
                <w:color w:val="FFFFFF"/>
                <w:sz w:val="24"/>
                <w:szCs w:val="24"/>
              </w:rPr>
              <w:t xml:space="preserve">1</w:t>
            </w:r>
          </w:p>
        </w:tc>
        <w:tc>
          <w:tcPr>
            <w:tcW w:type="dxa" w:w="8660"/>
            <w:tcMar>
              <w:top w:type="dxa" w:w="110"/>
              <w:left w:type="dxa" w:w="160"/>
              <w:bottom w:type="dxa" w:w="110"/>
              <w:right w:type="dxa" w:w="140"/>
            </w:tcMar>
          </w:tcPr>
          <w:p>
            <w:pPr>
              <w:spacing w:after="40" w:before="0"/>
            </w:pPr>
            <w:r>
              <w:rPr>
                <w:rFonts w:ascii="Calibri" w:cs="Calibri" w:eastAsia="Calibri" w:hAnsi="Calibri"/>
                <w:b/>
                <w:bCs/>
                <w:color w:val="202124"/>
                <w:sz w:val="20"/>
                <w:szCs w:val="20"/>
              </w:rPr>
              <w:t xml:space="preserve">Sitúate en el informe</w:t>
            </w:r>
          </w:p>
          <w:p>
            <w:pPr>
              <w:spacing w:after="0" w:before="0" w:line="250"/>
            </w:pPr>
            <w:r>
              <w:rPr>
                <w:rFonts w:ascii="Calibri" w:cs="Calibri" w:eastAsia="Calibri" w:hAnsi="Calibri"/>
                <w:color w:val="5F6368"/>
                <w:sz w:val="19"/>
                <w:szCs w:val="19"/>
              </w:rPr>
              <w:t xml:space="preserve">Informes → Ciclo de vida → Interacción → Página de destino. Ajusta el rango de fechas arriba a la derecha; en el ejemplo se usan los últimos 28 días.</w:t>
            </w:r>
          </w:p>
        </w:tc>
      </w:tr>
    </w:tbl>
    <w:p>
      <w:pPr>
        <w:spacing w:after="80" w:before="0"/>
      </w:pPr>
      <w:r>
        <w:t xml:space="preserve"/>
      </w:r>
    </w:p>
    <w:tbl>
      <w:tblPr>
        <w:tblW w:type="dxa" w:w="9360"/>
        <w:tblBorders>
          <w:top w:val="single" w:color="DADCE0" w:sz="4"/>
          <w:left w:val="single" w:color="DADCE0" w:sz="4"/>
          <w:bottom w:val="single" w:color="DADCE0" w:sz="4"/>
          <w:right w:val="single" w:color="DADCE0" w:sz="4"/>
          <w:insideH w:val="none"/>
          <w:insideV w:val="single" w:color="DADCE0" w:sz="4"/>
        </w:tblBorders>
      </w:tblPr>
      <w:tblGrid>
        <w:gridCol w:w="700"/>
        <w:gridCol w:w="8660"/>
      </w:tblGrid>
      <w:tr>
        <w:tc>
          <w:tcPr>
            <w:tcW w:type="dxa" w:w="700"/>
            <w:shd w:fill="1A73E8" w:color="auto" w:val="clear"/>
            <w:tcMar>
              <w:top w:type="dxa" w:w="110"/>
              <w:left w:type="dxa" w:w="80"/>
              <w:bottom w:type="dxa" w:w="110"/>
              <w:right w:type="dxa" w:w="80"/>
            </w:tcMar>
            <w:vAlign w:val="center"/>
          </w:tcPr>
          <w:p>
            <w:pPr>
              <w:spacing w:after="0" w:before="0"/>
              <w:jc w:val="center"/>
            </w:pPr>
            <w:r>
              <w:rPr>
                <w:rFonts w:ascii="Calibri" w:cs="Calibri" w:eastAsia="Calibri" w:hAnsi="Calibri"/>
                <w:b/>
                <w:bCs/>
                <w:color w:val="FFFFFF"/>
                <w:sz w:val="24"/>
                <w:szCs w:val="24"/>
              </w:rPr>
              <w:t xml:space="preserve">2</w:t>
            </w:r>
          </w:p>
        </w:tc>
        <w:tc>
          <w:tcPr>
            <w:tcW w:type="dxa" w:w="8660"/>
            <w:tcMar>
              <w:top w:type="dxa" w:w="110"/>
              <w:left w:type="dxa" w:w="160"/>
              <w:bottom w:type="dxa" w:w="110"/>
              <w:right w:type="dxa" w:w="140"/>
            </w:tcMar>
          </w:tcPr>
          <w:p>
            <w:pPr>
              <w:spacing w:after="40" w:before="0"/>
            </w:pPr>
            <w:r>
              <w:rPr>
                <w:rFonts w:ascii="Calibri" w:cs="Calibri" w:eastAsia="Calibri" w:hAnsi="Calibri"/>
                <w:b/>
                <w:bCs/>
                <w:color w:val="202124"/>
                <w:sz w:val="20"/>
                <w:szCs w:val="20"/>
              </w:rPr>
              <w:t xml:space="preserve">Lee la tabla sin cruzar nada</w:t>
            </w:r>
          </w:p>
          <w:p>
            <w:pPr>
              <w:spacing w:after="0" w:before="0" w:line="250"/>
            </w:pPr>
            <w:r>
              <w:rPr>
                <w:rFonts w:ascii="Calibri" w:cs="Calibri" w:eastAsia="Calibri" w:hAnsi="Calibri"/>
                <w:color w:val="5F6368"/>
                <w:sz w:val="19"/>
                <w:szCs w:val="19"/>
              </w:rPr>
              <w:t xml:space="preserve">Con solo la dimensión principal verás qué páginas captan más sesiones. Anota las tres primeras. Todavía no sabes de dónde viene ese tráfico, y por tanto no puedes decidir nada.</w:t>
            </w:r>
          </w:p>
        </w:tc>
      </w:tr>
    </w:tbl>
    <w:p>
      <w:pPr>
        <w:spacing w:after="80" w:before="0"/>
      </w:pPr>
      <w:r>
        <w:t xml:space="preserve"/>
      </w:r>
    </w:p>
    <w:tbl>
      <w:tblPr>
        <w:tblW w:type="dxa" w:w="9360"/>
        <w:tblBorders>
          <w:top w:val="single" w:color="DADCE0" w:sz="4"/>
          <w:left w:val="single" w:color="DADCE0" w:sz="4"/>
          <w:bottom w:val="single" w:color="DADCE0" w:sz="4"/>
          <w:right w:val="single" w:color="DADCE0" w:sz="4"/>
          <w:insideH w:val="none"/>
          <w:insideV w:val="single" w:color="DADCE0" w:sz="4"/>
        </w:tblBorders>
      </w:tblPr>
      <w:tblGrid>
        <w:gridCol w:w="700"/>
        <w:gridCol w:w="8660"/>
      </w:tblGrid>
      <w:tr>
        <w:tc>
          <w:tcPr>
            <w:tcW w:type="dxa" w:w="700"/>
            <w:shd w:fill="1A73E8" w:color="auto" w:val="clear"/>
            <w:tcMar>
              <w:top w:type="dxa" w:w="110"/>
              <w:left w:type="dxa" w:w="80"/>
              <w:bottom w:type="dxa" w:w="110"/>
              <w:right w:type="dxa" w:w="80"/>
            </w:tcMar>
            <w:vAlign w:val="center"/>
          </w:tcPr>
          <w:p>
            <w:pPr>
              <w:spacing w:after="0" w:before="0"/>
              <w:jc w:val="center"/>
            </w:pPr>
            <w:r>
              <w:rPr>
                <w:rFonts w:ascii="Calibri" w:cs="Calibri" w:eastAsia="Calibri" w:hAnsi="Calibri"/>
                <w:b/>
                <w:bCs/>
                <w:color w:val="FFFFFF"/>
                <w:sz w:val="24"/>
                <w:szCs w:val="24"/>
              </w:rPr>
              <w:t xml:space="preserve">3</w:t>
            </w:r>
          </w:p>
        </w:tc>
        <w:tc>
          <w:tcPr>
            <w:tcW w:type="dxa" w:w="8660"/>
            <w:tcMar>
              <w:top w:type="dxa" w:w="110"/>
              <w:left w:type="dxa" w:w="160"/>
              <w:bottom w:type="dxa" w:w="110"/>
              <w:right w:type="dxa" w:w="140"/>
            </w:tcMar>
          </w:tcPr>
          <w:p>
            <w:pPr>
              <w:spacing w:after="40" w:before="0"/>
            </w:pPr>
            <w:r>
              <w:rPr>
                <w:rFonts w:ascii="Calibri" w:cs="Calibri" w:eastAsia="Calibri" w:hAnsi="Calibri"/>
                <w:b/>
                <w:bCs/>
                <w:color w:val="202124"/>
                <w:sz w:val="20"/>
                <w:szCs w:val="20"/>
              </w:rPr>
              <w:t xml:space="preserve">Añade la dimensión secundaria</w:t>
            </w:r>
          </w:p>
          <w:p>
            <w:pPr>
              <w:spacing w:after="0" w:before="0" w:line="250"/>
            </w:pPr>
            <w:r>
              <w:rPr>
                <w:rFonts w:ascii="Calibri" w:cs="Calibri" w:eastAsia="Calibri" w:hAnsi="Calibri"/>
                <w:color w:val="5F6368"/>
                <w:sz w:val="19"/>
                <w:szCs w:val="19"/>
              </w:rPr>
              <w:t xml:space="preserve">Pulsa el botón + azul junto a la cabecera "Página de destino". En el buscador escribe "fuente" y selecciona Fuente / medio de la sesión.</w:t>
            </w:r>
          </w:p>
        </w:tc>
      </w:tr>
    </w:tbl>
    <w:p>
      <w:pPr>
        <w:spacing w:after="80" w:before="0"/>
      </w:pPr>
      <w:r>
        <w:t xml:space="preserve"/>
      </w:r>
    </w:p>
    <w:tbl>
      <w:tblPr>
        <w:tblW w:type="dxa" w:w="9360"/>
        <w:tblBorders>
          <w:top w:val="single" w:color="DADCE0" w:sz="4"/>
          <w:left w:val="single" w:color="DADCE0" w:sz="4"/>
          <w:bottom w:val="single" w:color="DADCE0" w:sz="4"/>
          <w:right w:val="single" w:color="DADCE0" w:sz="4"/>
          <w:insideH w:val="none"/>
          <w:insideV w:val="single" w:color="DADCE0" w:sz="4"/>
        </w:tblBorders>
      </w:tblPr>
      <w:tblGrid>
        <w:gridCol w:w="700"/>
        <w:gridCol w:w="8660"/>
      </w:tblGrid>
      <w:tr>
        <w:tc>
          <w:tcPr>
            <w:tcW w:type="dxa" w:w="700"/>
            <w:shd w:fill="1A73E8" w:color="auto" w:val="clear"/>
            <w:tcMar>
              <w:top w:type="dxa" w:w="110"/>
              <w:left w:type="dxa" w:w="80"/>
              <w:bottom w:type="dxa" w:w="110"/>
              <w:right w:type="dxa" w:w="80"/>
            </w:tcMar>
            <w:vAlign w:val="center"/>
          </w:tcPr>
          <w:p>
            <w:pPr>
              <w:spacing w:after="0" w:before="0"/>
              <w:jc w:val="center"/>
            </w:pPr>
            <w:r>
              <w:rPr>
                <w:rFonts w:ascii="Calibri" w:cs="Calibri" w:eastAsia="Calibri" w:hAnsi="Calibri"/>
                <w:b/>
                <w:bCs/>
                <w:color w:val="FFFFFF"/>
                <w:sz w:val="24"/>
                <w:szCs w:val="24"/>
              </w:rPr>
              <w:t xml:space="preserve">4</w:t>
            </w:r>
          </w:p>
        </w:tc>
        <w:tc>
          <w:tcPr>
            <w:tcW w:type="dxa" w:w="8660"/>
            <w:tcMar>
              <w:top w:type="dxa" w:w="110"/>
              <w:left w:type="dxa" w:w="160"/>
              <w:bottom w:type="dxa" w:w="110"/>
              <w:right w:type="dxa" w:w="140"/>
            </w:tcMar>
          </w:tcPr>
          <w:p>
            <w:pPr>
              <w:spacing w:after="40" w:before="0"/>
            </w:pPr>
            <w:r>
              <w:rPr>
                <w:rFonts w:ascii="Calibri" w:cs="Calibri" w:eastAsia="Calibri" w:hAnsi="Calibri"/>
                <w:b/>
                <w:bCs/>
                <w:color w:val="202124"/>
                <w:sz w:val="20"/>
                <w:szCs w:val="20"/>
              </w:rPr>
              <w:t xml:space="preserve">Reordena por sesiones</w:t>
            </w:r>
          </w:p>
          <w:p>
            <w:pPr>
              <w:spacing w:after="0" w:before="0" w:line="250"/>
            </w:pPr>
            <w:r>
              <w:rPr>
                <w:rFonts w:ascii="Calibri" w:cs="Calibri" w:eastAsia="Calibri" w:hAnsi="Calibri"/>
                <w:color w:val="5F6368"/>
                <w:sz w:val="19"/>
                <w:szCs w:val="19"/>
              </w:rPr>
              <w:t xml:space="preserve">Haz clic en la cabecera de la columna Sesiones para ordenar de mayor a menor. Ahora cada fila es una combinación única de página de entrada y origen del tráfico.</w:t>
            </w:r>
          </w:p>
        </w:tc>
      </w:tr>
    </w:tbl>
    <w:p>
      <w:pPr>
        <w:spacing w:after="80" w:before="0"/>
      </w:pPr>
      <w:r>
        <w:t xml:space="preserve"/>
      </w:r>
    </w:p>
    <w:tbl>
      <w:tblPr>
        <w:tblW w:type="dxa" w:w="9360"/>
        <w:tblBorders>
          <w:top w:val="single" w:color="DADCE0" w:sz="4"/>
          <w:left w:val="single" w:color="DADCE0" w:sz="4"/>
          <w:bottom w:val="single" w:color="DADCE0" w:sz="4"/>
          <w:right w:val="single" w:color="DADCE0" w:sz="4"/>
          <w:insideH w:val="none"/>
          <w:insideV w:val="single" w:color="DADCE0" w:sz="4"/>
        </w:tblBorders>
      </w:tblPr>
      <w:tblGrid>
        <w:gridCol w:w="700"/>
        <w:gridCol w:w="8660"/>
      </w:tblGrid>
      <w:tr>
        <w:tc>
          <w:tcPr>
            <w:tcW w:type="dxa" w:w="700"/>
            <w:shd w:fill="1A73E8" w:color="auto" w:val="clear"/>
            <w:tcMar>
              <w:top w:type="dxa" w:w="110"/>
              <w:left w:type="dxa" w:w="80"/>
              <w:bottom w:type="dxa" w:w="110"/>
              <w:right w:type="dxa" w:w="80"/>
            </w:tcMar>
            <w:vAlign w:val="center"/>
          </w:tcPr>
          <w:p>
            <w:pPr>
              <w:spacing w:after="0" w:before="0"/>
              <w:jc w:val="center"/>
            </w:pPr>
            <w:r>
              <w:rPr>
                <w:rFonts w:ascii="Calibri" w:cs="Calibri" w:eastAsia="Calibri" w:hAnsi="Calibri"/>
                <w:b/>
                <w:bCs/>
                <w:color w:val="FFFFFF"/>
                <w:sz w:val="24"/>
                <w:szCs w:val="24"/>
              </w:rPr>
              <w:t xml:space="preserve">5</w:t>
            </w:r>
          </w:p>
        </w:tc>
        <w:tc>
          <w:tcPr>
            <w:tcW w:type="dxa" w:w="8660"/>
            <w:tcMar>
              <w:top w:type="dxa" w:w="110"/>
              <w:left w:type="dxa" w:w="160"/>
              <w:bottom w:type="dxa" w:w="110"/>
              <w:right w:type="dxa" w:w="140"/>
            </w:tcMar>
          </w:tcPr>
          <w:p>
            <w:pPr>
              <w:spacing w:after="40" w:before="0"/>
            </w:pPr>
            <w:r>
              <w:rPr>
                <w:rFonts w:ascii="Calibri" w:cs="Calibri" w:eastAsia="Calibri" w:hAnsi="Calibri"/>
                <w:b/>
                <w:bCs/>
                <w:color w:val="202124"/>
                <w:sz w:val="20"/>
                <w:szCs w:val="20"/>
              </w:rPr>
              <w:t xml:space="preserve">Compara filas de la misma página</w:t>
            </w:r>
          </w:p>
          <w:p>
            <w:pPr>
              <w:spacing w:after="0" w:before="0" w:line="250"/>
            </w:pPr>
            <w:r>
              <w:rPr>
                <w:rFonts w:ascii="Calibri" w:cs="Calibri" w:eastAsia="Calibri" w:hAnsi="Calibri"/>
                <w:color w:val="5F6368"/>
                <w:sz w:val="19"/>
                <w:szCs w:val="19"/>
              </w:rPr>
              <w:t xml:space="preserve">Busca una misma URL que aparezca con dos fuentes distintas. Ahí está el hallazgo: la misma página rinde diferente según quién la traiga.</w:t>
            </w:r>
          </w:p>
        </w:tc>
      </w:tr>
    </w:tbl>
    <w:p>
      <w:pPr>
        <w:spacing w:after="120" w:before="0"/>
      </w:pPr>
      <w:r>
        <w:t xml:space="preserve"/>
      </w:r>
    </w:p>
    <w:p>
      <w:pPr>
        <w:pStyle w:val="Heading2"/>
        <w:spacing w:after="140" w:before="280"/>
      </w:pPr>
      <w:r>
        <w:rPr>
          <w:rFonts w:ascii="Calibri" w:cs="Calibri" w:eastAsia="Calibri" w:hAnsi="Calibri"/>
          <w:b/>
          <w:bCs/>
          <w:color w:val="1A73E8"/>
          <w:sz w:val="26"/>
          <w:szCs w:val="26"/>
        </w:rPr>
        <w:t xml:space="preserve">4.3 La tabla resultante</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900"/>
        <w:gridCol w:w="2300"/>
        <w:gridCol w:w="1200"/>
        <w:gridCol w:w="1660"/>
        <w:gridCol w:w="1300"/>
      </w:tblGrid>
      <w:tr>
        <w:trPr>
          <w:tblHeader/>
        </w:trPr>
        <w:tc>
          <w:tcPr>
            <w:tcW w:type="dxa" w:w="29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Página de destino</w:t>
            </w:r>
          </w:p>
        </w:tc>
        <w:tc>
          <w:tcPr>
            <w:tcW w:type="dxa" w:w="23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Fuente / medio</w:t>
            </w:r>
          </w:p>
        </w:tc>
        <w:tc>
          <w:tcPr>
            <w:tcW w:type="dxa" w:w="12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c>
          <w:tcPr>
            <w:tcW w:type="dxa" w:w="16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Tiempo interac.</w:t>
            </w:r>
          </w:p>
        </w:tc>
        <w:tc>
          <w:tcPr>
            <w:tcW w:type="dxa" w:w="13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Ev. clave</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23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google / organic</w:t>
            </w:r>
          </w:p>
        </w:tc>
        <w:tc>
          <w:tcPr>
            <w:tcW w:type="dxa" w:w="12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11</w:t>
            </w:r>
          </w:p>
        </w:tc>
        <w:tc>
          <w:tcPr>
            <w:tcW w:type="dxa" w:w="16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 s</w:t>
            </w:r>
          </w:p>
        </w:tc>
        <w:tc>
          <w:tcPr>
            <w:tcW w:type="dxa" w:w="13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23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(direct) / (none)</w:t>
            </w:r>
          </w:p>
        </w:tc>
        <w:tc>
          <w:tcPr>
            <w:tcW w:type="dxa" w:w="12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c>
          <w:tcPr>
            <w:tcW w:type="dxa" w:w="16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7 min 02 s</w:t>
            </w:r>
          </w:p>
        </w:tc>
        <w:tc>
          <w:tcPr>
            <w:tcW w:type="dxa" w:w="13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/venta-de-casas-en-manresa</w:t>
            </w:r>
          </w:p>
        </w:tc>
        <w:tc>
          <w:tcPr>
            <w:tcW w:type="dxa" w:w="23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google / organic</w:t>
            </w:r>
          </w:p>
        </w:tc>
        <w:tc>
          <w:tcPr>
            <w:tcW w:type="dxa" w:w="12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c>
          <w:tcPr>
            <w:tcW w:type="dxa" w:w="16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 s</w:t>
            </w:r>
          </w:p>
        </w:tc>
        <w:tc>
          <w:tcPr>
            <w:tcW w:type="dxa" w:w="13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(not set)</w:t>
            </w:r>
          </w:p>
        </w:tc>
        <w:tc>
          <w:tcPr>
            <w:tcW w:type="dxa" w:w="23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google / organic</w:t>
            </w:r>
          </w:p>
        </w:tc>
        <w:tc>
          <w:tcPr>
            <w:tcW w:type="dxa" w:w="12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w:t>
            </w:r>
          </w:p>
        </w:tc>
        <w:tc>
          <w:tcPr>
            <w:tcW w:type="dxa" w:w="16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 s</w:t>
            </w:r>
          </w:p>
        </w:tc>
        <w:tc>
          <w:tcPr>
            <w:tcW w:type="dxa" w:w="13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/venta-de-casas-en-manresa</w:t>
            </w:r>
          </w:p>
        </w:tc>
        <w:tc>
          <w:tcPr>
            <w:tcW w:type="dxa" w:w="23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newsletter / email</w:t>
            </w:r>
          </w:p>
        </w:tc>
        <w:tc>
          <w:tcPr>
            <w:tcW w:type="dxa" w:w="12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w:t>
            </w:r>
          </w:p>
        </w:tc>
        <w:tc>
          <w:tcPr>
            <w:tcW w:type="dxa" w:w="16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22 s</w:t>
            </w:r>
          </w:p>
        </w:tc>
        <w:tc>
          <w:tcPr>
            <w:tcW w:type="dxa" w:w="13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w:t>
            </w:r>
          </w:p>
        </w:tc>
      </w:tr>
      <w:tr>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23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mailerlite / email</w:t>
            </w:r>
          </w:p>
        </w:tc>
        <w:tc>
          <w:tcPr>
            <w:tcW w:type="dxa" w:w="12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c>
          <w:tcPr>
            <w:tcW w:type="dxa" w:w="16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 s</w:t>
            </w:r>
          </w:p>
        </w:tc>
        <w:tc>
          <w:tcPr>
            <w:tcW w:type="dxa" w:w="13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/inmobiliarias</w:t>
            </w:r>
          </w:p>
        </w:tc>
        <w:tc>
          <w:tcPr>
            <w:tcW w:type="dxa" w:w="23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google / organic</w:t>
            </w:r>
          </w:p>
        </w:tc>
        <w:tc>
          <w:tcPr>
            <w:tcW w:type="dxa" w:w="12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c>
          <w:tcPr>
            <w:tcW w:type="dxa" w:w="16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 s</w:t>
            </w:r>
          </w:p>
        </w:tc>
        <w:tc>
          <w:tcPr>
            <w:tcW w:type="dxa" w:w="13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23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mailerlite / email</w:t>
            </w:r>
          </w:p>
        </w:tc>
        <w:tc>
          <w:tcPr>
            <w:tcW w:type="dxa" w:w="12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c>
          <w:tcPr>
            <w:tcW w:type="dxa" w:w="16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 s</w:t>
            </w:r>
          </w:p>
        </w:tc>
        <w:tc>
          <w:tcPr>
            <w:tcW w:type="dxa" w:w="13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(not set)</w:t>
            </w:r>
          </w:p>
        </w:tc>
        <w:tc>
          <w:tcPr>
            <w:tcW w:type="dxa" w:w="23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facebook / social</w:t>
            </w:r>
          </w:p>
        </w:tc>
        <w:tc>
          <w:tcPr>
            <w:tcW w:type="dxa" w:w="12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c>
          <w:tcPr>
            <w:tcW w:type="dxa" w:w="16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35 s</w:t>
            </w:r>
          </w:p>
        </w:tc>
        <w:tc>
          <w:tcPr>
            <w:tcW w:type="dxa" w:w="13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bl>
    <w:p>
      <w:pPr>
        <w:spacing w:after="120" w:before="0"/>
      </w:pPr>
      <w:r>
        <w:t xml:space="preserve"/>
      </w:r>
    </w:p>
    <w:p>
      <w:pPr>
        <w:pStyle w:val="Heading2"/>
        <w:spacing w:after="140" w:before="280"/>
      </w:pPr>
      <w:r>
        <w:rPr>
          <w:rFonts w:ascii="Calibri" w:cs="Calibri" w:eastAsia="Calibri" w:hAnsi="Calibri"/>
          <w:b/>
          <w:bCs/>
          <w:color w:val="1A73E8"/>
          <w:sz w:val="26"/>
          <w:szCs w:val="26"/>
        </w:rPr>
        <w:t xml:space="preserve">4.4 Cómo se lee: cinco hallazgos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300"/>
        <w:gridCol w:w="3200"/>
        <w:gridCol w:w="3860"/>
      </w:tblGrid>
      <w:tr>
        <w:trPr>
          <w:tblHeader/>
        </w:trPr>
        <w:tc>
          <w:tcPr>
            <w:tcW w:type="dxa" w:w="23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Hallazgo</w:t>
            </w:r>
          </w:p>
        </w:tc>
        <w:tc>
          <w:tcPr>
            <w:tcW w:type="dxa" w:w="32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se ve</w:t>
            </w:r>
          </w:p>
        </w:tc>
        <w:tc>
          <w:tcPr>
            <w:tcW w:type="dxa" w:w="38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Interpretación</w:t>
            </w:r>
          </w:p>
        </w:tc>
      </w:tr>
      <w:tr>
        <w:tc>
          <w:tcPr>
            <w:tcW w:type="dxa" w:w="23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Landing orgánica que no engancha</w:t>
            </w:r>
          </w:p>
        </w:tc>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 con google/organic: 11 sesiones pero 5 s</w:t>
            </w:r>
          </w:p>
        </w:tc>
        <w:tc>
          <w:tcPr>
            <w:tcW w:type="dxa" w:w="38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Rankea y atrae, pero el usuario se va. Problema de contenido o de intención de búsqueda mal cubierta</w:t>
            </w:r>
          </w:p>
        </w:tc>
      </w:tr>
      <w:tr>
        <w:tc>
          <w:tcPr>
            <w:tcW w:type="dxa" w:w="23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El tráfico directo es el bueno</w:t>
            </w:r>
          </w:p>
        </w:tc>
        <w:tc>
          <w:tcPr>
            <w:tcW w:type="dxa" w:w="3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home con (direct)/(none): 7 min 02 s</w:t>
            </w:r>
          </w:p>
        </w:tc>
        <w:tc>
          <w:tcPr>
            <w:tcW w:type="dxa" w:w="38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Tráfico de marca o recurrente. Ya te conocen y exploran a fondo</w:t>
            </w:r>
          </w:p>
        </w:tc>
      </w:tr>
      <w:tr>
        <w:tc>
          <w:tcPr>
            <w:tcW w:type="dxa" w:w="23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El email es el único que convierte</w:t>
            </w:r>
          </w:p>
        </w:tc>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 con newsletter/email: 5 sesiones y 1 evento clave (33 % del total)</w:t>
            </w:r>
          </w:p>
        </w:tc>
        <w:tc>
          <w:tcPr>
            <w:tcW w:type="dxa" w:w="38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Poco volumen pero calidad alta. Es el canal que genera negocio</w:t>
            </w:r>
          </w:p>
        </w:tc>
      </w:tr>
      <w:tr>
        <w:tc>
          <w:tcPr>
            <w:tcW w:type="dxa" w:w="23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misma página, dos comportamientos</w:t>
            </w:r>
          </w:p>
        </w:tc>
        <w:tc>
          <w:tcPr>
            <w:tcW w:type="dxa" w:w="3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 rinde 5 s por orgánico y 0 s por email</w:t>
            </w:r>
          </w:p>
        </w:tc>
        <w:tc>
          <w:tcPr>
            <w:tcW w:type="dxa" w:w="38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El problema no es la página en abstracto: es el desajuste entre lo que promete cada canal y lo que la página entrega</w:t>
            </w:r>
          </w:p>
        </w:tc>
      </w:tr>
      <w:tr>
        <w:tc>
          <w:tcPr>
            <w:tcW w:type="dxa" w:w="23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Ruido que hay que investigar</w:t>
            </w:r>
          </w:p>
        </w:tc>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(not set) aparece con tres fuentes distintas</w:t>
            </w:r>
          </w:p>
        </w:tc>
        <w:tc>
          <w:tcPr>
            <w:tcW w:type="dxa" w:w="38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Sesiones sin página de entrada atribuible. Requiere diagnóstico técnico</w:t>
            </w:r>
          </w:p>
        </w:tc>
      </w:tr>
    </w:tbl>
    <w:p>
      <w:pPr>
        <w:spacing w:after="120" w:before="0"/>
      </w:pPr>
      <w:r>
        <w:t xml:space="preserve"/>
      </w:r>
    </w:p>
    <w:p>
      <w:pPr>
        <w:pStyle w:val="Heading2"/>
        <w:spacing w:after="140" w:before="280"/>
      </w:pPr>
      <w:r>
        <w:rPr>
          <w:rFonts w:ascii="Calibri" w:cs="Calibri" w:eastAsia="Calibri" w:hAnsi="Calibri"/>
          <w:b/>
          <w:bCs/>
          <w:color w:val="1A73E8"/>
          <w:sz w:val="26"/>
          <w:szCs w:val="26"/>
        </w:rPr>
        <w:t xml:space="preserve">4.5 El caso (not set): siempre aparece y siempre inquieta</w:t>
      </w:r>
    </w:p>
    <w:p>
      <w:pPr>
        <w:spacing w:after="120" w:before="60" w:line="276"/>
      </w:pPr>
      <w:r>
        <w:rPr>
          <w:rFonts w:ascii="Calibri" w:cs="Calibri" w:eastAsia="Calibri" w:hAnsi="Calibri"/>
          <w:color w:val="202124"/>
          <w:sz w:val="21"/>
          <w:szCs w:val="21"/>
        </w:rPr>
        <w:t xml:space="preserve">Conviene explicarlo en clase porque aparecerá en todos los informes y genera desconfianza en la herramienta.</w:t>
      </w:r>
    </w:p>
    <w:p>
      <w:pPr>
        <w:pStyle w:val="ListParagraph"/>
        <w:numPr>
          <w:ilvl w:val="0"/>
          <w:numId w:val="2"/>
        </w:numPr>
        <w:spacing w:after="60" w:before="40" w:line="260"/>
      </w:pPr>
      <w:r>
        <w:rPr>
          <w:rFonts w:ascii="Calibri" w:cs="Calibri" w:eastAsia="Calibri" w:hAnsi="Calibri"/>
          <w:color w:val="202124"/>
          <w:sz w:val="21"/>
          <w:szCs w:val="21"/>
        </w:rPr>
        <w:t xml:space="preserve">La sesión empezó sin un evento page_view: la etiqueta se disparó tarde o el activador de GTM no cubría esa ruta.</w:t>
      </w:r>
    </w:p>
    <w:p>
      <w:pPr>
        <w:pStyle w:val="ListParagraph"/>
        <w:numPr>
          <w:ilvl w:val="0"/>
          <w:numId w:val="2"/>
        </w:numPr>
        <w:spacing w:after="60" w:before="40" w:line="260"/>
      </w:pPr>
      <w:r>
        <w:rPr>
          <w:rFonts w:ascii="Calibri" w:cs="Calibri" w:eastAsia="Calibri" w:hAnsi="Calibri"/>
          <w:color w:val="202124"/>
          <w:sz w:val="21"/>
          <w:szCs w:val="21"/>
        </w:rPr>
        <w:t xml:space="preserve">La sesión continúa de un día para otro y cruza el límite del rango de fechas seleccionado.</w:t>
      </w:r>
    </w:p>
    <w:p>
      <w:pPr>
        <w:pStyle w:val="ListParagraph"/>
        <w:numPr>
          <w:ilvl w:val="0"/>
          <w:numId w:val="2"/>
        </w:numPr>
        <w:spacing w:after="60" w:before="40" w:line="260"/>
      </w:pPr>
      <w:r>
        <w:rPr>
          <w:rFonts w:ascii="Calibri" w:cs="Calibri" w:eastAsia="Calibri" w:hAnsi="Calibri"/>
          <w:color w:val="202124"/>
          <w:sz w:val="21"/>
          <w:szCs w:val="21"/>
        </w:rPr>
        <w:t xml:space="preserve">Consentimiento denegado con modelado de datos activo: GA4 estima la sesión pero no puede atribuirle una página concreta.</w:t>
      </w:r>
    </w:p>
    <w:p>
      <w:pPr>
        <w:pStyle w:val="ListParagraph"/>
        <w:numPr>
          <w:ilvl w:val="0"/>
          <w:numId w:val="2"/>
        </w:numPr>
        <w:spacing w:after="60" w:before="40" w:line="260"/>
      </w:pPr>
      <w:r>
        <w:rPr>
          <w:rFonts w:ascii="Calibri" w:cs="Calibri" w:eastAsia="Calibri" w:hAnsi="Calibri"/>
          <w:color w:val="202124"/>
          <w:sz w:val="21"/>
          <w:szCs w:val="21"/>
        </w:rPr>
        <w:t xml:space="preserve">Tráfico de bots o rastreadores que ejecutan el contenedor parcialmente.</w:t>
      </w:r>
    </w:p>
    <w:p>
      <w:pPr>
        <w:spacing w:after="80" w:before="0"/>
      </w:pPr>
      <w:r>
        <w:t xml:space="preserve"/>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Conexión con el bloque de consentimiento</w:t>
            </w:r>
          </w:p>
          <w:p>
            <w:pPr>
              <w:spacing w:after="0" w:before="0" w:line="260"/>
            </w:pPr>
            <w:r>
              <w:rPr>
                <w:rFonts w:ascii="Calibri" w:cs="Calibri" w:eastAsia="Calibri" w:hAnsi="Calibri"/>
                <w:color w:val="202124"/>
                <w:sz w:val="19"/>
                <w:szCs w:val="19"/>
              </w:rPr>
              <w:t xml:space="preserve">Si el porcentaje de (not set) crece justo después de instalar un CMP, la causa casi siempre está en el orden de disparo de las etiquetas. Revisa que el CMP esté en el activador Consent Initialization – All Pages y la etiqueta de Google en Initialization – All Pages.</w:t>
            </w:r>
          </w:p>
        </w:tc>
      </w:tr>
    </w:tbl>
    <w:p>
      <w:pPr>
        <w:pStyle w:val="Heading2"/>
        <w:spacing w:after="140" w:before="280"/>
      </w:pPr>
      <w:r>
        <w:rPr>
          <w:rFonts w:ascii="Calibri" w:cs="Calibri" w:eastAsia="Calibri" w:hAnsi="Calibri"/>
          <w:b/>
          <w:bCs/>
          <w:color w:val="1A73E8"/>
          <w:sz w:val="26"/>
          <w:szCs w:val="26"/>
        </w:rPr>
        <w:t xml:space="preserve">4.6 La decisión</w:t>
      </w:r>
    </w:p>
    <w:p>
      <w:pPr>
        <w:spacing w:after="120" w:before="60" w:line="276"/>
      </w:pPr>
      <w:r>
        <w:rPr>
          <w:rFonts w:ascii="Calibri" w:cs="Calibri" w:eastAsia="Calibri" w:hAnsi="Calibri"/>
          <w:color w:val="202124"/>
          <w:sz w:val="21"/>
          <w:szCs w:val="21"/>
        </w:rPr>
        <w:t xml:space="preserve">Un análisis que no termina en una decisión es un pasatiempo. Con estos datos, la conclusión es clara:</w:t>
      </w:r>
    </w:p>
    <w:p>
      <w:pPr>
        <w:pStyle w:val="ListParagraph"/>
        <w:numPr>
          <w:ilvl w:val="0"/>
          <w:numId w:val="2"/>
        </w:numPr>
        <w:spacing w:after="60" w:before="40" w:line="260"/>
      </w:pPr>
      <w:r>
        <w:rPr>
          <w:rFonts w:ascii="Calibri" w:cs="Calibri" w:eastAsia="Calibri" w:hAnsi="Calibri"/>
          <w:color w:val="202124"/>
          <w:sz w:val="21"/>
          <w:szCs w:val="21"/>
        </w:rPr>
        <w:t xml:space="preserve">/venta-de-pisos-en-manresa tiene volumen orgánico pero interacción de 5 segundos. Antes de invertir en conseguir más tráfico hay que arreglar la página: la inversión actual se está desperdiciando.</w:t>
      </w:r>
    </w:p>
    <w:p>
      <w:pPr>
        <w:pStyle w:val="ListParagraph"/>
        <w:numPr>
          <w:ilvl w:val="0"/>
          <w:numId w:val="2"/>
        </w:numPr>
        <w:spacing w:after="60" w:before="40" w:line="260"/>
      </w:pPr>
      <w:r>
        <w:rPr>
          <w:rFonts w:ascii="Calibri" w:cs="Calibri" w:eastAsia="Calibri" w:hAnsi="Calibri"/>
          <w:color w:val="202124"/>
          <w:sz w:val="21"/>
          <w:szCs w:val="21"/>
        </w:rPr>
        <w:t xml:space="preserve">El email a /venta-de-casas-en-manresa es lo único que convierte. Hay que entender por qué funciona y replicar ese patrón en el resto de envíos.</w:t>
      </w:r>
    </w:p>
    <w:p>
      <w:pPr>
        <w:pStyle w:val="ListParagraph"/>
        <w:numPr>
          <w:ilvl w:val="0"/>
          <w:numId w:val="2"/>
        </w:numPr>
        <w:spacing w:after="60" w:before="40" w:line="260"/>
      </w:pPr>
      <w:r>
        <w:rPr>
          <w:rFonts w:ascii="Calibri" w:cs="Calibri" w:eastAsia="Calibri" w:hAnsi="Calibri"/>
          <w:color w:val="202124"/>
          <w:sz w:val="21"/>
          <w:szCs w:val="21"/>
        </w:rPr>
        <w:t xml:space="preserve">El tráfico directo pasa 7 minutos en la home. Ese segmento merece contenido propio, no la página genérica.</w:t>
      </w:r>
    </w:p>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5. Los cuatro cruces esenciales</w:t>
      </w:r>
    </w:p>
    <w:p>
      <w:pPr>
        <w:spacing w:after="120" w:before="60" w:line="276"/>
      </w:pPr>
      <w:r>
        <w:rPr>
          <w:rFonts w:ascii="Calibri" w:cs="Calibri" w:eastAsia="Calibri" w:hAnsi="Calibri"/>
          <w:color w:val="202124"/>
          <w:sz w:val="21"/>
          <w:szCs w:val="21"/>
        </w:rPr>
        <w:t xml:space="preserve">Con la mecánica ya dominada, estos cuatro cruces cubren las preguntas que más se repiten en cualquier proyecto. Cada uno introduce además un concepto nuevo.</w:t>
      </w:r>
    </w:p>
    <w:p>
      <w:pPr>
        <w:pStyle w:val="Heading2"/>
        <w:spacing w:after="140" w:before="280"/>
      </w:pPr>
      <w:r>
        <w:rPr>
          <w:rFonts w:ascii="Calibri" w:cs="Calibri" w:eastAsia="Calibri" w:hAnsi="Calibri"/>
          <w:b/>
          <w:bCs/>
          <w:color w:val="1A73E8"/>
          <w:sz w:val="26"/>
          <w:szCs w:val="26"/>
        </w:rPr>
        <w:t xml:space="preserve">5.1 Cruce 2 · Página de destino × Categoría de dispositivo</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¿Esta landing falla en todos los dispositivos o solo en móvil?</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Interacción → Página de destino → + → "Categoría de dispositivo"</w:t>
      </w:r>
    </w:p>
    <w:p>
      <w:pPr>
        <w:spacing w:after="120" w:before="60" w:line="276"/>
      </w:pPr>
      <w:r>
        <w:rPr>
          <w:rFonts w:ascii="Calibri" w:cs="Calibri" w:eastAsia="Calibri" w:hAnsi="Calibri"/>
          <w:color w:val="202124"/>
          <w:sz w:val="21"/>
          <w:szCs w:val="21"/>
        </w:rPr>
        <w:t xml:space="preserve">En el cruce anterior descubrimos que una landing tiene 5 segundos de interacción media. Esa media esconde comportamientos distintos, y el dispositivo es la primera sospecha en cualquier inmobiliaria: la gente busca vivienda desde el móvil, en el transporte, con prisa.</w:t>
      </w:r>
    </w:p>
    <w:p>
      <w:pPr>
        <w:spacing w:after="80" w:before="200"/>
      </w:pPr>
      <w:r>
        <w:rPr>
          <w:rFonts w:ascii="Calibri" w:cs="Calibri" w:eastAsia="Calibri" w:hAnsi="Calibri"/>
          <w:b/>
          <w:bCs/>
          <w:color w:val="174EA6"/>
          <w:sz w:val="18"/>
          <w:szCs w:val="18"/>
        </w:rPr>
        <w:t xml:space="preserve">TABLA RESULTANTE</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900"/>
        <w:gridCol w:w="1700"/>
        <w:gridCol w:w="1300"/>
        <w:gridCol w:w="1830"/>
        <w:gridCol w:w="1630"/>
      </w:tblGrid>
      <w:tr>
        <w:trPr>
          <w:tblHeader/>
        </w:trPr>
        <w:tc>
          <w:tcPr>
            <w:tcW w:type="dxa" w:w="29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Página de destino</w:t>
            </w:r>
          </w:p>
        </w:tc>
        <w:tc>
          <w:tcPr>
            <w:tcW w:type="dxa" w:w="17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Dispositivo</w:t>
            </w:r>
          </w:p>
        </w:tc>
        <w:tc>
          <w:tcPr>
            <w:tcW w:type="dxa" w:w="13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c>
          <w:tcPr>
            <w:tcW w:type="dxa" w:w="18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Tiempo interac.</w:t>
            </w:r>
          </w:p>
        </w:tc>
        <w:tc>
          <w:tcPr>
            <w:tcW w:type="dxa" w:w="16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Tasa interac.</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1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mobile</w:t>
            </w:r>
          </w:p>
        </w:tc>
        <w:tc>
          <w:tcPr>
            <w:tcW w:type="dxa" w:w="13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8</w:t>
            </w:r>
          </w:p>
        </w:tc>
        <w:tc>
          <w:tcPr>
            <w:tcW w:type="dxa" w:w="18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 s</w:t>
            </w:r>
          </w:p>
        </w:tc>
        <w:tc>
          <w:tcPr>
            <w:tcW w:type="dxa" w:w="16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25 %</w:t>
            </w:r>
          </w:p>
        </w:tc>
      </w:tr>
      <w:tr>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1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desktop</w:t>
            </w:r>
          </w:p>
        </w:tc>
        <w:tc>
          <w:tcPr>
            <w:tcW w:type="dxa" w:w="13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c>
          <w:tcPr>
            <w:tcW w:type="dxa" w:w="18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14 s</w:t>
            </w:r>
          </w:p>
        </w:tc>
        <w:tc>
          <w:tcPr>
            <w:tcW w:type="dxa" w:w="16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66 %</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/venta-de-casas-en-manresa</w:t>
            </w:r>
          </w:p>
        </w:tc>
        <w:tc>
          <w:tcPr>
            <w:tcW w:type="dxa" w:w="1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mobile</w:t>
            </w:r>
          </w:p>
        </w:tc>
        <w:tc>
          <w:tcPr>
            <w:tcW w:type="dxa" w:w="13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7</w:t>
            </w:r>
          </w:p>
        </w:tc>
        <w:tc>
          <w:tcPr>
            <w:tcW w:type="dxa" w:w="18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 s</w:t>
            </w:r>
          </w:p>
        </w:tc>
        <w:tc>
          <w:tcPr>
            <w:tcW w:type="dxa" w:w="16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42 %</w:t>
            </w:r>
          </w:p>
        </w:tc>
      </w:tr>
      <w:tr>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/venta-de-casas-en-manresa</w:t>
            </w:r>
          </w:p>
        </w:tc>
        <w:tc>
          <w:tcPr>
            <w:tcW w:type="dxa" w:w="1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desktop</w:t>
            </w:r>
          </w:p>
        </w:tc>
        <w:tc>
          <w:tcPr>
            <w:tcW w:type="dxa" w:w="13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c>
          <w:tcPr>
            <w:tcW w:type="dxa" w:w="18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31 s</w:t>
            </w:r>
          </w:p>
        </w:tc>
        <w:tc>
          <w:tcPr>
            <w:tcW w:type="dxa" w:w="16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75 %</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1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desktop</w:t>
            </w:r>
          </w:p>
        </w:tc>
        <w:tc>
          <w:tcPr>
            <w:tcW w:type="dxa" w:w="13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w:t>
            </w:r>
          </w:p>
        </w:tc>
        <w:tc>
          <w:tcPr>
            <w:tcW w:type="dxa" w:w="18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8 min 12 s</w:t>
            </w:r>
          </w:p>
        </w:tc>
        <w:tc>
          <w:tcPr>
            <w:tcW w:type="dxa" w:w="16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100 %</w:t>
            </w:r>
          </w:p>
        </w:tc>
      </w:tr>
    </w:tbl>
    <w:p>
      <w:pPr>
        <w:spacing w:after="80" w:before="200"/>
      </w:pPr>
      <w:r>
        <w:rPr>
          <w:rFonts w:ascii="Calibri" w:cs="Calibri" w:eastAsia="Calibri" w:hAnsi="Calibri"/>
          <w:b/>
          <w:bCs/>
          <w:color w:val="174EA6"/>
          <w:sz w:val="18"/>
          <w:szCs w:val="18"/>
        </w:rPr>
        <w:t xml:space="preserve">LECTURA</w:t>
      </w:r>
    </w:p>
    <w:p>
      <w:pPr>
        <w:spacing w:after="120" w:before="60" w:line="276"/>
      </w:pPr>
      <w:r>
        <w:rPr>
          <w:rFonts w:ascii="Calibri" w:cs="Calibri" w:eastAsia="Calibri" w:hAnsi="Calibri"/>
          <w:color w:val="202124"/>
          <w:sz w:val="21"/>
          <w:szCs w:val="21"/>
        </w:rPr>
        <w:t xml:space="preserve">El patrón es sistemático, no anecdótico: en todas las landings el escritorio multiplica por cinco o siete el tiempo de interacción. Si ocurriera en una sola página diríamos que esa página está mal escrita. Al repetirse en todas, el diagnóstico cambia por completo: el problema es la versión móvil del sitio.</w:t>
      </w:r>
    </w:p>
    <w:p>
      <w:pPr>
        <w:spacing w:after="120" w:before="60" w:line="276"/>
      </w:pPr>
      <w:r>
        <w:rPr>
          <w:rFonts w:ascii="Calibri" w:cs="Calibri" w:eastAsia="Calibri" w:hAnsi="Calibri"/>
          <w:color w:val="202124"/>
          <w:sz w:val="21"/>
          <w:szCs w:val="21"/>
        </w:rPr>
        <w:t xml:space="preserve">Sospechas a verificar: la ficha del inmueble carga las fotos por encima del precio y obliga a hacer scroll, el LCP en móvil es alto, o el formulario de contacto queda fuera de la primera pantalla.</w:t>
      </w:r>
    </w:p>
    <w:tbl>
      <w:tblPr>
        <w:tblW w:type="dxa" w:w="9360"/>
        <w:tblBorders>
          <w:top w:val="single" w:color="E37400" w:sz="4"/>
          <w:left w:val="single" w:color="E37400" w:sz="24"/>
          <w:bottom w:val="single" w:color="E37400" w:sz="4"/>
          <w:right w:val="single" w:color="E37400"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E37400"/>
                <w:sz w:val="20"/>
                <w:szCs w:val="20"/>
              </w:rPr>
              <w:t xml:space="preserve">⚠️  Trampa didáctica: significancia estadística</w:t>
            </w:r>
          </w:p>
          <w:p>
            <w:pPr>
              <w:spacing w:after="0" w:before="0" w:line="260"/>
            </w:pPr>
            <w:r>
              <w:rPr>
                <w:rFonts w:ascii="Calibri" w:cs="Calibri" w:eastAsia="Calibri" w:hAnsi="Calibri"/>
                <w:color w:val="202124"/>
                <w:sz w:val="19"/>
                <w:szCs w:val="19"/>
              </w:rPr>
              <w:t xml:space="preserve">Con 8 y 3 sesiones estas cifras no son concluyentes. Por debajo de unas 30 sesiones por celda, la conclusión es una hipótesis, no un hecho. Antes de decidir nada se amplía el rango a 90 días. Enseñar esto evita que los alumnos tomen decisiones caras sobre muestras de cuatro visitas.</w:t>
            </w:r>
          </w:p>
        </w:tc>
      </w:tr>
    </w:tbl>
    <w:p>
      <w:pPr>
        <w:spacing w:after="80" w:before="200"/>
      </w:pPr>
      <w:r>
        <w:rPr>
          <w:rFonts w:ascii="Calibri" w:cs="Calibri" w:eastAsia="Calibri" w:hAnsi="Calibri"/>
          <w:b/>
          <w:bCs/>
          <w:color w:val="174EA6"/>
          <w:sz w:val="18"/>
          <w:szCs w:val="18"/>
        </w:rPr>
        <w:t xml:space="preserve">DECISIÓN</w:t>
      </w:r>
    </w:p>
    <w:p>
      <w:pPr>
        <w:spacing w:after="120" w:before="60" w:line="276"/>
      </w:pPr>
      <w:r>
        <w:rPr>
          <w:rFonts w:ascii="Calibri" w:cs="Calibri" w:eastAsia="Calibri" w:hAnsi="Calibri"/>
          <w:color w:val="202124"/>
          <w:sz w:val="21"/>
          <w:szCs w:val="21"/>
        </w:rPr>
        <w:t xml:space="preserve">Pasar la URL por PageSpeed Insights en su versión móvil. Si CLS o LCP están en rojo, el trabajo es técnico y no de redacción.</w:t>
      </w:r>
    </w:p>
    <w:p>
      <w:r>
        <w:br w:type="page"/>
      </w:r>
    </w:p>
    <w:p>
      <w:pPr>
        <w:pStyle w:val="Heading2"/>
        <w:spacing w:after="140" w:before="280"/>
      </w:pPr>
      <w:r>
        <w:rPr>
          <w:rFonts w:ascii="Calibri" w:cs="Calibri" w:eastAsia="Calibri" w:hAnsi="Calibri"/>
          <w:b/>
          <w:bCs/>
          <w:color w:val="1A73E8"/>
          <w:sz w:val="26"/>
          <w:szCs w:val="26"/>
        </w:rPr>
        <w:t xml:space="preserve">5.2 Cruce 3 · Fuente/medio de la sesión × País</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¿De dónde viene geográficamente el tráfico de cada canal, y me sirve para algo?</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Adquisición → Adquisición de tráfico → cambiar dimensión principal → + → "País"</w:t>
      </w:r>
    </w:p>
    <w:p>
      <w:pPr>
        <w:spacing w:after="120" w:before="60" w:line="276"/>
      </w:pPr>
      <w:r>
        <w:rPr>
          <w:rFonts w:ascii="Calibri" w:cs="Calibri" w:eastAsia="Calibri" w:hAnsi="Calibri"/>
          <w:color w:val="202124"/>
          <w:sz w:val="21"/>
          <w:szCs w:val="21"/>
        </w:rPr>
        <w:t xml:space="preserve">Novedad respecto al cruce anterior: aquí cambiamos también la dimensión principal, no solo añadimos una secundaria. Es el momento de enseñar el desplegable de la primera columna, que muchos alumnos nunca descubren por su cuenta.</w:t>
      </w:r>
    </w:p>
    <w:p>
      <w:pPr>
        <w:spacing w:after="80" w:before="200"/>
      </w:pPr>
      <w:r>
        <w:rPr>
          <w:rFonts w:ascii="Calibri" w:cs="Calibri" w:eastAsia="Calibri" w:hAnsi="Calibri"/>
          <w:b/>
          <w:bCs/>
          <w:color w:val="174EA6"/>
          <w:sz w:val="18"/>
          <w:szCs w:val="18"/>
        </w:rPr>
        <w:t xml:space="preserve">TABLA RESULTANTE</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500"/>
        <w:gridCol w:w="2100"/>
        <w:gridCol w:w="1400"/>
        <w:gridCol w:w="1800"/>
        <w:gridCol w:w="1560"/>
      </w:tblGrid>
      <w:tr>
        <w:trPr>
          <w:tblHeader/>
        </w:trPr>
        <w:tc>
          <w:tcPr>
            <w:tcW w:type="dxa" w:w="25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Fuente / medio</w:t>
            </w:r>
          </w:p>
        </w:tc>
        <w:tc>
          <w:tcPr>
            <w:tcW w:type="dxa" w:w="21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País</w:t>
            </w:r>
          </w:p>
        </w:tc>
        <w:tc>
          <w:tcPr>
            <w:tcW w:type="dxa" w:w="1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c>
          <w:tcPr>
            <w:tcW w:type="dxa" w:w="18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Usuarios nuevos</w:t>
            </w:r>
          </w:p>
        </w:tc>
        <w:tc>
          <w:tcPr>
            <w:tcW w:type="dxa" w:w="15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Tasa interac.</w:t>
            </w:r>
          </w:p>
        </w:tc>
      </w:tr>
      <w:tr>
        <w:tc>
          <w:tcPr>
            <w:tcW w:type="dxa" w:w="25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google / organic</w:t>
            </w:r>
          </w:p>
        </w:tc>
        <w:tc>
          <w:tcPr>
            <w:tcW w:type="dxa" w:w="21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España</w:t>
            </w:r>
          </w:p>
        </w:tc>
        <w:tc>
          <w:tcPr>
            <w:tcW w:type="dxa" w:w="14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41</w:t>
            </w:r>
          </w:p>
        </w:tc>
        <w:tc>
          <w:tcPr>
            <w:tcW w:type="dxa" w:w="18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18</w:t>
            </w:r>
          </w:p>
        </w:tc>
        <w:tc>
          <w:tcPr>
            <w:tcW w:type="dxa" w:w="15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58 %</w:t>
            </w:r>
          </w:p>
        </w:tc>
      </w:tr>
      <w:tr>
        <w:tc>
          <w:tcPr>
            <w:tcW w:type="dxa" w:w="25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google / organic</w:t>
            </w:r>
          </w:p>
        </w:tc>
        <w:tc>
          <w:tcPr>
            <w:tcW w:type="dxa" w:w="21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Estados Unidos</w:t>
            </w:r>
          </w:p>
        </w:tc>
        <w:tc>
          <w:tcPr>
            <w:tcW w:type="dxa" w:w="14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c>
          <w:tcPr>
            <w:tcW w:type="dxa" w:w="18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c>
          <w:tcPr>
            <w:tcW w:type="dxa" w:w="15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8 %</w:t>
            </w:r>
          </w:p>
        </w:tc>
      </w:tr>
      <w:tr>
        <w:tc>
          <w:tcPr>
            <w:tcW w:type="dxa" w:w="25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google / organic</w:t>
            </w:r>
          </w:p>
        </w:tc>
        <w:tc>
          <w:tcPr>
            <w:tcW w:type="dxa" w:w="21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India</w:t>
            </w:r>
          </w:p>
        </w:tc>
        <w:tc>
          <w:tcPr>
            <w:tcW w:type="dxa" w:w="14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c>
          <w:tcPr>
            <w:tcW w:type="dxa" w:w="18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c>
          <w:tcPr>
            <w:tcW w:type="dxa" w:w="15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0 %</w:t>
            </w:r>
          </w:p>
        </w:tc>
      </w:tr>
      <w:tr>
        <w:tc>
          <w:tcPr>
            <w:tcW w:type="dxa" w:w="25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mailerlite / email</w:t>
            </w:r>
          </w:p>
        </w:tc>
        <w:tc>
          <w:tcPr>
            <w:tcW w:type="dxa" w:w="21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España</w:t>
            </w:r>
          </w:p>
        </w:tc>
        <w:tc>
          <w:tcPr>
            <w:tcW w:type="dxa" w:w="14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14</w:t>
            </w:r>
          </w:p>
        </w:tc>
        <w:tc>
          <w:tcPr>
            <w:tcW w:type="dxa" w:w="18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w:t>
            </w:r>
          </w:p>
        </w:tc>
        <w:tc>
          <w:tcPr>
            <w:tcW w:type="dxa" w:w="15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71 %</w:t>
            </w:r>
          </w:p>
        </w:tc>
      </w:tr>
      <w:tr>
        <w:tc>
          <w:tcPr>
            <w:tcW w:type="dxa" w:w="25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(direct) / (none)</w:t>
            </w:r>
          </w:p>
        </w:tc>
        <w:tc>
          <w:tcPr>
            <w:tcW w:type="dxa" w:w="21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España</w:t>
            </w:r>
          </w:p>
        </w:tc>
        <w:tc>
          <w:tcPr>
            <w:tcW w:type="dxa" w:w="14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12</w:t>
            </w:r>
          </w:p>
        </w:tc>
        <w:tc>
          <w:tcPr>
            <w:tcW w:type="dxa" w:w="180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8</w:t>
            </w:r>
          </w:p>
        </w:tc>
        <w:tc>
          <w:tcPr>
            <w:tcW w:type="dxa" w:w="15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82 %</w:t>
            </w:r>
          </w:p>
        </w:tc>
      </w:tr>
      <w:tr>
        <w:tc>
          <w:tcPr>
            <w:tcW w:type="dxa" w:w="25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facebook / social</w:t>
            </w:r>
          </w:p>
        </w:tc>
        <w:tc>
          <w:tcPr>
            <w:tcW w:type="dxa" w:w="21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España</w:t>
            </w:r>
          </w:p>
        </w:tc>
        <w:tc>
          <w:tcPr>
            <w:tcW w:type="dxa" w:w="14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c>
          <w:tcPr>
            <w:tcW w:type="dxa" w:w="180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c>
          <w:tcPr>
            <w:tcW w:type="dxa" w:w="15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66 %</w:t>
            </w:r>
          </w:p>
        </w:tc>
      </w:tr>
    </w:tbl>
    <w:p>
      <w:pPr>
        <w:spacing w:after="80" w:before="200"/>
      </w:pPr>
      <w:r>
        <w:rPr>
          <w:rFonts w:ascii="Calibri" w:cs="Calibri" w:eastAsia="Calibri" w:hAnsi="Calibri"/>
          <w:b/>
          <w:bCs/>
          <w:color w:val="174EA6"/>
          <w:sz w:val="18"/>
          <w:szCs w:val="18"/>
        </w:rPr>
        <w:t xml:space="preserve">LECTURA</w:t>
      </w:r>
    </w:p>
    <w:p>
      <w:pPr>
        <w:spacing w:after="120" w:before="60" w:line="276"/>
      </w:pPr>
      <w:r>
        <w:rPr>
          <w:rFonts w:ascii="Calibri" w:cs="Calibri" w:eastAsia="Calibri" w:hAnsi="Calibri"/>
          <w:color w:val="202124"/>
          <w:sz w:val="21"/>
          <w:szCs w:val="21"/>
        </w:rPr>
        <w:t xml:space="preserve">Este es el cruce que limpia los datos. Una inmobiliaria de Manresa no tiene clientes potenciales en India. Esas diez sesiones de Estados Unidos e India con una interacción del 0 al 8 % son bots, rastreadores o tráfico basura, y están contaminando la media del canal orgánico: la tasa real en España es del 58 %, pero el promedio global la hunde.</w:t>
      </w:r>
    </w:p>
    <w:p>
      <w:pPr>
        <w:spacing w:after="120" w:before="60" w:line="276"/>
      </w:pPr>
      <w:r>
        <w:rPr>
          <w:rFonts w:ascii="Calibri" w:cs="Calibri" w:eastAsia="Calibri" w:hAnsi="Calibri"/>
          <w:color w:val="202124"/>
          <w:sz w:val="21"/>
          <w:szCs w:val="21"/>
        </w:rPr>
        <w:t xml:space="preserve">Segunda lectura, sobre el correo: mailerlite/email tiene 14 sesiones y un solo usuario nuevo. Eso confirma que la newsletter funciona como canal de retención, no de captación. No se le puede exigir usuarios nuevos a una lista de correo formada por gente que ya te conoce.</w:t>
      </w:r>
    </w:p>
    <w:p>
      <w:pPr>
        <w:spacing w:after="80" w:before="200"/>
      </w:pPr>
      <w:r>
        <w:rPr>
          <w:rFonts w:ascii="Calibri" w:cs="Calibri" w:eastAsia="Calibri" w:hAnsi="Calibri"/>
          <w:b/>
          <w:bCs/>
          <w:color w:val="174EA6"/>
          <w:sz w:val="18"/>
          <w:szCs w:val="18"/>
        </w:rPr>
        <w:t xml:space="preserve">CONCEPTO QUE SE INTRODUCE: FILTROS DE DATOS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600"/>
        <w:gridCol w:w="3600"/>
        <w:gridCol w:w="3160"/>
      </w:tblGrid>
      <w:tr>
        <w:trPr>
          <w:tblHeader/>
        </w:trPr>
        <w:tc>
          <w:tcPr>
            <w:tcW w:type="dxa" w:w="2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Tipo de filtro</w:t>
            </w:r>
          </w:p>
        </w:tc>
        <w:tc>
          <w:tcPr>
            <w:tcW w:type="dxa" w:w="3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Dónde se aplica</w:t>
            </w:r>
          </w:p>
        </w:tc>
        <w:tc>
          <w:tcPr>
            <w:tcW w:type="dxa" w:w="31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Alcance</w:t>
            </w:r>
          </w:p>
        </w:tc>
      </w:tr>
      <w:tr>
        <w:tc>
          <w:tcPr>
            <w:tcW w:type="dxa" w:w="2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Comparación temporal</w:t>
            </w:r>
          </w:p>
        </w:tc>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Botón Añadir comparación en el propio informe</w:t>
            </w:r>
          </w:p>
        </w:tc>
        <w:tc>
          <w:tcPr>
            <w:tcW w:type="dxa" w:w="31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Solo esa sesión de trabajo. No se guarda</w:t>
            </w:r>
          </w:p>
        </w:tc>
      </w:tr>
      <w:tr>
        <w:tc>
          <w:tcPr>
            <w:tcW w:type="dxa" w:w="2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Filtro de datos permanente</w:t>
            </w:r>
          </w:p>
        </w:tc>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Administrar → Configuración de datos → Filtros de datos</w:t>
            </w:r>
          </w:p>
        </w:tc>
        <w:tc>
          <w:tcPr>
            <w:tcW w:type="dxa" w:w="31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Afecta a toda la propiedad y no es retroactivo</w:t>
            </w:r>
          </w:p>
        </w:tc>
      </w:tr>
    </w:tbl>
    <w:p>
      <w:pPr>
        <w:spacing w:after="120" w:before="0"/>
      </w:pPr>
      <w:r>
        <w:t xml:space="preserve"/>
      </w:r>
    </w:p>
    <w:tbl>
      <w:tblPr>
        <w:tblW w:type="dxa" w:w="9360"/>
        <w:tblBorders>
          <w:top w:val="single" w:color="E37400" w:sz="4"/>
          <w:left w:val="single" w:color="E37400" w:sz="24"/>
          <w:bottom w:val="single" w:color="E37400" w:sz="4"/>
          <w:right w:val="single" w:color="E37400"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E37400"/>
                <w:sz w:val="20"/>
                <w:szCs w:val="20"/>
              </w:rPr>
              <w:t xml:space="preserve">⚠️  Antes de crear un filtro permanente</w:t>
            </w:r>
          </w:p>
          <w:p>
            <w:pPr>
              <w:spacing w:after="0" w:before="0" w:line="260"/>
            </w:pPr>
            <w:r>
              <w:rPr>
                <w:rFonts w:ascii="Calibri" w:cs="Calibri" w:eastAsia="Calibri" w:hAnsi="Calibri"/>
                <w:color w:val="202124"/>
                <w:sz w:val="19"/>
                <w:szCs w:val="19"/>
              </w:rPr>
              <w:t xml:space="preserve">Los filtros de datos de GA4 descartan la información para siempre: lo filtrado no se puede recuperar. Créalos siempre primero en modo Prueba, comprueba durante unos días el efecto en el informe de depuración, y solo después actívalos.</w:t>
            </w:r>
          </w:p>
        </w:tc>
      </w:tr>
    </w:tbl>
    <w:p>
      <w:pPr>
        <w:spacing w:after="80" w:before="200"/>
      </w:pPr>
      <w:r>
        <w:rPr>
          <w:rFonts w:ascii="Calibri" w:cs="Calibri" w:eastAsia="Calibri" w:hAnsi="Calibri"/>
          <w:b/>
          <w:bCs/>
          <w:color w:val="174EA6"/>
          <w:sz w:val="18"/>
          <w:szCs w:val="18"/>
        </w:rPr>
        <w:t xml:space="preserve">DECISIÓN</w:t>
      </w:r>
    </w:p>
    <w:p>
      <w:pPr>
        <w:spacing w:after="120" w:before="60" w:line="276"/>
      </w:pPr>
      <w:r>
        <w:rPr>
          <w:rFonts w:ascii="Calibri" w:cs="Calibri" w:eastAsia="Calibri" w:hAnsi="Calibri"/>
          <w:color w:val="202124"/>
          <w:sz w:val="21"/>
          <w:szCs w:val="21"/>
        </w:rPr>
        <w:t xml:space="preserve">Aplicar la comparación "País = España" como vista por defecto para todos los análisis de rendimiento, y valorar bloqueo de bots a nivel de servidor si el volumen crece.</w:t>
      </w:r>
    </w:p>
    <w:p>
      <w:r>
        <w:br w:type="page"/>
      </w:r>
    </w:p>
    <w:p>
      <w:pPr>
        <w:pStyle w:val="Heading2"/>
        <w:spacing w:after="140" w:before="280"/>
      </w:pPr>
      <w:r>
        <w:rPr>
          <w:rFonts w:ascii="Calibri" w:cs="Calibri" w:eastAsia="Calibri" w:hAnsi="Calibri"/>
          <w:b/>
          <w:bCs/>
          <w:color w:val="1A73E8"/>
          <w:sz w:val="26"/>
          <w:szCs w:val="26"/>
        </w:rPr>
        <w:t xml:space="preserve">5.3 Cruce 4 · Nombre del evento × Ruta de página</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¿Mis eventos se disparan donde deberían, o hay páginas con el formulario roto?</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Interacción → Eventos → + → "Ruta de página y clase de pantalla"</w:t>
      </w:r>
    </w:p>
    <w:p>
      <w:pPr>
        <w:spacing w:after="120" w:before="60" w:line="276"/>
      </w:pPr>
      <w:r>
        <w:rPr>
          <w:rFonts w:ascii="Calibri" w:cs="Calibri" w:eastAsia="Calibri" w:hAnsi="Calibri"/>
          <w:color w:val="202124"/>
          <w:sz w:val="21"/>
          <w:szCs w:val="21"/>
        </w:rPr>
        <w:t xml:space="preserve">Los tres cruces anteriores analizaban comportamiento de usuarios. Este es de naturaleza distinta: es un cruce de diagnóstico técnico, y es el puente natural con todo el trabajo previo de Google Tag Manager.</w:t>
      </w:r>
    </w:p>
    <w:p>
      <w:pPr>
        <w:spacing w:after="80" w:before="200"/>
      </w:pPr>
      <w:r>
        <w:rPr>
          <w:rFonts w:ascii="Calibri" w:cs="Calibri" w:eastAsia="Calibri" w:hAnsi="Calibri"/>
          <w:b/>
          <w:bCs/>
          <w:color w:val="174EA6"/>
          <w:sz w:val="18"/>
          <w:szCs w:val="18"/>
        </w:rPr>
        <w:t xml:space="preserve">TABLA RESULTANTE</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200"/>
        <w:gridCol w:w="4000"/>
        <w:gridCol w:w="2160"/>
      </w:tblGrid>
      <w:tr>
        <w:trPr>
          <w:tblHeader/>
        </w:trPr>
        <w:tc>
          <w:tcPr>
            <w:tcW w:type="dxa" w:w="32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Nombre del evento</w:t>
            </w:r>
          </w:p>
        </w:tc>
        <w:tc>
          <w:tcPr>
            <w:tcW w:type="dxa" w:w="4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Ruta de página</w:t>
            </w:r>
          </w:p>
        </w:tc>
        <w:tc>
          <w:tcPr>
            <w:tcW w:type="dxa" w:w="21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Recuento</w:t>
            </w:r>
          </w:p>
        </w:tc>
      </w:tr>
      <w:tr>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page_view</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21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34</w:t>
            </w:r>
          </w:p>
        </w:tc>
      </w:tr>
      <w:tr>
        <w:tc>
          <w:tcPr>
            <w:tcW w:type="dxa" w:w="3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scroll</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21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12</w:t>
            </w:r>
          </w:p>
        </w:tc>
      </w:tr>
      <w:tr>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form_start</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/contactar</w:t>
            </w:r>
          </w:p>
        </w:tc>
        <w:tc>
          <w:tcPr>
            <w:tcW w:type="dxa" w:w="21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9</w:t>
            </w:r>
          </w:p>
        </w:tc>
      </w:tr>
      <w:tr>
        <w:tc>
          <w:tcPr>
            <w:tcW w:type="dxa" w:w="3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form_field_interaction</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/contactar</w:t>
            </w:r>
          </w:p>
        </w:tc>
        <w:tc>
          <w:tcPr>
            <w:tcW w:type="dxa" w:w="21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24</w:t>
            </w:r>
          </w:p>
        </w:tc>
      </w:tr>
      <w:tr>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form_submit</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/contactar</w:t>
            </w:r>
          </w:p>
        </w:tc>
        <w:tc>
          <w:tcPr>
            <w:tcW w:type="dxa" w:w="21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r>
      <w:tr>
        <w:tc>
          <w:tcPr>
            <w:tcW w:type="dxa" w:w="3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contactar_cta_click</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/venta-de-casas-en-manresa</w:t>
            </w:r>
          </w:p>
        </w:tc>
        <w:tc>
          <w:tcPr>
            <w:tcW w:type="dxa" w:w="21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w:t>
            </w:r>
          </w:p>
        </w:tc>
      </w:tr>
      <w:tr>
        <w:tc>
          <w:tcPr>
            <w:tcW w:type="dxa" w:w="3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form_start</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/venta-de-casas-en-manresa</w:t>
            </w:r>
          </w:p>
        </w:tc>
        <w:tc>
          <w:tcPr>
            <w:tcW w:type="dxa" w:w="21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bl>
    <w:p>
      <w:pPr>
        <w:spacing w:after="80" w:before="200"/>
      </w:pPr>
      <w:r>
        <w:rPr>
          <w:rFonts w:ascii="Calibri" w:cs="Calibri" w:eastAsia="Calibri" w:hAnsi="Calibri"/>
          <w:b/>
          <w:bCs/>
          <w:color w:val="174EA6"/>
          <w:sz w:val="18"/>
          <w:szCs w:val="18"/>
        </w:rPr>
        <w:t xml:space="preserve">HALLAZGO A · UN EMBUDO CON FUGA</w:t>
      </w:r>
    </w:p>
    <w:p>
      <w:pPr>
        <w:spacing w:after="120" w:before="60" w:line="276"/>
      </w:pPr>
      <w:r>
        <w:rPr>
          <w:rFonts w:ascii="Calibri" w:cs="Calibri" w:eastAsia="Calibri" w:hAnsi="Calibri"/>
          <w:color w:val="202124"/>
          <w:sz w:val="21"/>
          <w:szCs w:val="21"/>
        </w:rPr>
        <w:t xml:space="preserve">En /contactar: nueve usuarios empiezan el formulario, se registran 24 interacciones con campos, pero solo tres lo envían. Se pierden seis de cada nueve por el camino. Con el detalle de form_field_interaction se puede afinar y localizar cuál es el último campo tocado antes del abandono, que suele ser un teléfono con validación estricta o una casilla de protección de datos poco visible.</w:t>
      </w:r>
    </w:p>
    <w:p>
      <w:pPr>
        <w:spacing w:after="80" w:before="200"/>
      </w:pPr>
      <w:r>
        <w:rPr>
          <w:rFonts w:ascii="Calibri" w:cs="Calibri" w:eastAsia="Calibri" w:hAnsi="Calibri"/>
          <w:b/>
          <w:bCs/>
          <w:color w:val="174EA6"/>
          <w:sz w:val="18"/>
          <w:szCs w:val="18"/>
        </w:rPr>
        <w:t xml:space="preserve">HALLAZGO B · UN EVENTO QUE FALTA</w:t>
      </w:r>
    </w:p>
    <w:p>
      <w:pPr>
        <w:spacing w:after="120" w:before="60" w:line="276"/>
      </w:pPr>
      <w:r>
        <w:rPr>
          <w:rFonts w:ascii="Calibri" w:cs="Calibri" w:eastAsia="Calibri" w:hAnsi="Calibri"/>
          <w:color w:val="202124"/>
          <w:sz w:val="21"/>
          <w:szCs w:val="21"/>
        </w:rPr>
        <w:t xml:space="preserve">En /venta-de-casas-en-manresa hay cinco clics en el CTA de contactar, pero cero form_start. Eso no es comportamiento de usuario: es un fallo de medición. El activador de GTM está limitado a la ruta /contactar y no se dispara en la landing, o el CTA abre una ventana modal que el activador no detecta.</w:t>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El concepto clave de todo el manual</w:t>
            </w:r>
          </w:p>
          <w:p>
            <w:pPr>
              <w:spacing w:after="0" w:before="0" w:line="260"/>
            </w:pPr>
            <w:r>
              <w:rPr>
                <w:rFonts w:ascii="Calibri" w:cs="Calibri" w:eastAsia="Calibri" w:hAnsi="Calibri"/>
                <w:color w:val="202124"/>
                <w:sz w:val="19"/>
                <w:szCs w:val="19"/>
              </w:rPr>
              <w:t xml:space="preserve">Un cero en GA4 tiene dos explicaciones posibles: nadie lo hizo, o no lo estás midiendo. Distinguir entre ambas es el trabajo del analista. Y se verifica en el Modo de vista previa de GTM, no en GA4.</w:t>
            </w:r>
          </w:p>
        </w:tc>
      </w:tr>
    </w:tbl>
    <w:p>
      <w:pPr>
        <w:spacing w:after="80" w:before="200"/>
      </w:pPr>
      <w:r>
        <w:rPr>
          <w:rFonts w:ascii="Calibri" w:cs="Calibri" w:eastAsia="Calibri" w:hAnsi="Calibri"/>
          <w:b/>
          <w:bCs/>
          <w:color w:val="174EA6"/>
          <w:sz w:val="18"/>
          <w:szCs w:val="18"/>
        </w:rPr>
        <w:t xml:space="preserve">DECISIÓN</w:t>
      </w:r>
    </w:p>
    <w:p>
      <w:pPr>
        <w:spacing w:after="120" w:before="60" w:line="276"/>
      </w:pPr>
      <w:r>
        <w:rPr>
          <w:rFonts w:ascii="Calibri" w:cs="Calibri" w:eastAsia="Calibri" w:hAnsi="Calibri"/>
          <w:color w:val="202124"/>
          <w:sz w:val="21"/>
          <w:szCs w:val="21"/>
        </w:rPr>
        <w:t xml:space="preserve">Volver a GTM, revisar la condición de página del activador de form_start y ampliarla para que cubra las landings con formulario incrustado.</w:t>
      </w:r>
    </w:p>
    <w:p>
      <w:r>
        <w:br w:type="page"/>
      </w:r>
    </w:p>
    <w:p>
      <w:pPr>
        <w:pStyle w:val="Heading2"/>
        <w:spacing w:after="140" w:before="280"/>
      </w:pPr>
      <w:r>
        <w:rPr>
          <w:rFonts w:ascii="Calibri" w:cs="Calibri" w:eastAsia="Calibri" w:hAnsi="Calibri"/>
          <w:b/>
          <w:bCs/>
          <w:color w:val="1A73E8"/>
          <w:sz w:val="26"/>
          <w:szCs w:val="26"/>
        </w:rPr>
        <w:t xml:space="preserve">5.4 Cruce 5 · Página de destino × Grupo de canales</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¿Qué le enseño a dirección en una reunión de diez minutos?</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Interacción → Página de destino → + → "Grupo de canales predeterminado de la sesión"</w:t>
      </w:r>
    </w:p>
    <w:p>
      <w:pPr>
        <w:spacing w:after="120" w:before="60" w:line="276"/>
      </w:pPr>
      <w:r>
        <w:rPr>
          <w:rFonts w:ascii="Calibri" w:cs="Calibri" w:eastAsia="Calibri" w:hAnsi="Calibri"/>
          <w:color w:val="202124"/>
          <w:sz w:val="21"/>
          <w:szCs w:val="21"/>
        </w:rPr>
        <w:t xml:space="preserve">La diferencia con el cruce 1 es el concepto central de este apartado. Fuente/medio da el detalle granular; Grupo de canales agrupa esas fuentes en las categorías estándar de Google.</w:t>
      </w:r>
    </w:p>
    <w:p>
      <w:pPr>
        <w:spacing w:after="80" w:before="200"/>
      </w:pPr>
      <w:r>
        <w:rPr>
          <w:rFonts w:ascii="Calibri" w:cs="Calibri" w:eastAsia="Calibri" w:hAnsi="Calibri"/>
          <w:b/>
          <w:bCs/>
          <w:color w:val="174EA6"/>
          <w:sz w:val="18"/>
          <w:szCs w:val="18"/>
        </w:rPr>
        <w:t xml:space="preserve">CÓMO AGRUPA GA4</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4700"/>
        <w:gridCol w:w="4660"/>
      </w:tblGrid>
      <w:tr>
        <w:trPr>
          <w:tblHeader/>
        </w:trPr>
        <w:tc>
          <w:tcPr>
            <w:tcW w:type="dxa" w:w="47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Fuente / medio (detalle)</w:t>
            </w:r>
          </w:p>
        </w:tc>
        <w:tc>
          <w:tcPr>
            <w:tcW w:type="dxa" w:w="46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 agrupa en</w:t>
            </w:r>
          </w:p>
        </w:tc>
      </w:tr>
      <w:tr>
        <w:tc>
          <w:tcPr>
            <w:tcW w:type="dxa" w:w="4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google / organic</w:t>
            </w:r>
          </w:p>
        </w:tc>
        <w:tc>
          <w:tcPr>
            <w:tcW w:type="dxa" w:w="46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Organic Search</w:t>
            </w:r>
          </w:p>
        </w:tc>
      </w:tr>
      <w:tr>
        <w:tc>
          <w:tcPr>
            <w:tcW w:type="dxa" w:w="4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bing / organic</w:t>
            </w:r>
          </w:p>
        </w:tc>
        <w:tc>
          <w:tcPr>
            <w:tcW w:type="dxa" w:w="46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Organic Search</w:t>
            </w:r>
          </w:p>
        </w:tc>
      </w:tr>
      <w:tr>
        <w:tc>
          <w:tcPr>
            <w:tcW w:type="dxa" w:w="4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mailerlite / email</w:t>
            </w:r>
          </w:p>
        </w:tc>
        <w:tc>
          <w:tcPr>
            <w:tcW w:type="dxa" w:w="46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Email</w:t>
            </w:r>
          </w:p>
        </w:tc>
      </w:tr>
      <w:tr>
        <w:tc>
          <w:tcPr>
            <w:tcW w:type="dxa" w:w="4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newsletter / email</w:t>
            </w:r>
          </w:p>
        </w:tc>
        <w:tc>
          <w:tcPr>
            <w:tcW w:type="dxa" w:w="46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Email</w:t>
            </w:r>
          </w:p>
        </w:tc>
      </w:tr>
      <w:tr>
        <w:tc>
          <w:tcPr>
            <w:tcW w:type="dxa" w:w="4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facebook / social</w:t>
            </w:r>
          </w:p>
        </w:tc>
        <w:tc>
          <w:tcPr>
            <w:tcW w:type="dxa" w:w="46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Organic Social</w:t>
            </w:r>
          </w:p>
        </w:tc>
      </w:tr>
      <w:tr>
        <w:tc>
          <w:tcPr>
            <w:tcW w:type="dxa" w:w="4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(direct) / (none)</w:t>
            </w:r>
          </w:p>
        </w:tc>
        <w:tc>
          <w:tcPr>
            <w:tcW w:type="dxa" w:w="46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Direct</w:t>
            </w:r>
          </w:p>
        </w:tc>
      </w:tr>
      <w:tr>
        <w:tc>
          <w:tcPr>
            <w:tcW w:type="dxa" w:w="4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google / cpc</w:t>
            </w:r>
          </w:p>
        </w:tc>
        <w:tc>
          <w:tcPr>
            <w:tcW w:type="dxa" w:w="46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Paid Search</w:t>
            </w:r>
          </w:p>
        </w:tc>
      </w:tr>
    </w:tbl>
    <w:p>
      <w:pPr>
        <w:spacing w:after="80" w:before="200"/>
      </w:pPr>
      <w:r>
        <w:rPr>
          <w:rFonts w:ascii="Calibri" w:cs="Calibri" w:eastAsia="Calibri" w:hAnsi="Calibri"/>
          <w:b/>
          <w:bCs/>
          <w:color w:val="174EA6"/>
          <w:sz w:val="18"/>
          <w:szCs w:val="18"/>
        </w:rPr>
        <w:t xml:space="preserve">TABLA RESULTANTE</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100"/>
        <w:gridCol w:w="2600"/>
        <w:gridCol w:w="1830"/>
        <w:gridCol w:w="1830"/>
      </w:tblGrid>
      <w:tr>
        <w:trPr>
          <w:tblHeader/>
        </w:trPr>
        <w:tc>
          <w:tcPr>
            <w:tcW w:type="dxa" w:w="31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Página de destino</w:t>
            </w:r>
          </w:p>
        </w:tc>
        <w:tc>
          <w:tcPr>
            <w:tcW w:type="dxa" w:w="2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Grupo de canales</w:t>
            </w:r>
          </w:p>
        </w:tc>
        <w:tc>
          <w:tcPr>
            <w:tcW w:type="dxa" w:w="18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c>
          <w:tcPr>
            <w:tcW w:type="dxa" w:w="18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Eventos clave</w:t>
            </w:r>
          </w:p>
        </w:tc>
      </w:tr>
      <w:tr>
        <w:tc>
          <w:tcPr>
            <w:tcW w:type="dxa" w:w="31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2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Organic Search</w:t>
            </w:r>
          </w:p>
        </w:tc>
        <w:tc>
          <w:tcPr>
            <w:tcW w:type="dxa" w:w="18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11</w:t>
            </w:r>
          </w:p>
        </w:tc>
        <w:tc>
          <w:tcPr>
            <w:tcW w:type="dxa" w:w="18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31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2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Email</w:t>
            </w:r>
          </w:p>
        </w:tc>
        <w:tc>
          <w:tcPr>
            <w:tcW w:type="dxa" w:w="18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c>
          <w:tcPr>
            <w:tcW w:type="dxa" w:w="18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31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/venta-de-casas-en-manresa</w:t>
            </w:r>
          </w:p>
        </w:tc>
        <w:tc>
          <w:tcPr>
            <w:tcW w:type="dxa" w:w="2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Email</w:t>
            </w:r>
          </w:p>
        </w:tc>
        <w:tc>
          <w:tcPr>
            <w:tcW w:type="dxa" w:w="18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9</w:t>
            </w:r>
          </w:p>
        </w:tc>
        <w:tc>
          <w:tcPr>
            <w:tcW w:type="dxa" w:w="18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w:t>
            </w:r>
          </w:p>
        </w:tc>
      </w:tr>
      <w:tr>
        <w:tc>
          <w:tcPr>
            <w:tcW w:type="dxa" w:w="31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/venta-de-casas-en-manresa</w:t>
            </w:r>
          </w:p>
        </w:tc>
        <w:tc>
          <w:tcPr>
            <w:tcW w:type="dxa" w:w="2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Organic Search</w:t>
            </w:r>
          </w:p>
        </w:tc>
        <w:tc>
          <w:tcPr>
            <w:tcW w:type="dxa" w:w="18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c>
          <w:tcPr>
            <w:tcW w:type="dxa" w:w="18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31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2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Direct</w:t>
            </w:r>
          </w:p>
        </w:tc>
        <w:tc>
          <w:tcPr>
            <w:tcW w:type="dxa" w:w="18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c>
          <w:tcPr>
            <w:tcW w:type="dxa" w:w="18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31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2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Email</w:t>
            </w:r>
          </w:p>
        </w:tc>
        <w:tc>
          <w:tcPr>
            <w:tcW w:type="dxa" w:w="18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c>
          <w:tcPr>
            <w:tcW w:type="dxa" w:w="18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w:t>
            </w:r>
          </w:p>
        </w:tc>
      </w:tr>
    </w:tbl>
    <w:p>
      <w:pPr>
        <w:spacing w:after="80" w:before="200"/>
      </w:pPr>
      <w:r>
        <w:rPr>
          <w:rFonts w:ascii="Calibri" w:cs="Calibri" w:eastAsia="Calibri" w:hAnsi="Calibri"/>
          <w:b/>
          <w:bCs/>
          <w:color w:val="174EA6"/>
          <w:sz w:val="18"/>
          <w:szCs w:val="18"/>
        </w:rPr>
        <w:t xml:space="preserve">LECTURA</w:t>
      </w:r>
    </w:p>
    <w:p>
      <w:pPr>
        <w:spacing w:after="120" w:before="60" w:line="276"/>
      </w:pPr>
      <w:r>
        <w:rPr>
          <w:rFonts w:ascii="Calibri" w:cs="Calibri" w:eastAsia="Calibri" w:hAnsi="Calibri"/>
          <w:color w:val="202124"/>
          <w:sz w:val="21"/>
          <w:szCs w:val="21"/>
        </w:rPr>
        <w:t xml:space="preserve">Al agrupar, el mensaje se vuelve nítido: Email genera 17 sesiones y 3 eventos clave. Organic Search genera 17 sesiones y ninguno. Mismo volumen, resultado opuesto. Esa frase cabe en una diapositiva; la tabla de 68 filas del cruce 1, no.</w:t>
      </w:r>
    </w:p>
    <w:p>
      <w:pPr>
        <w:spacing w:after="80" w:before="200"/>
      </w:pPr>
      <w:r>
        <w:rPr>
          <w:rFonts w:ascii="Calibri" w:cs="Calibri" w:eastAsia="Calibri" w:hAnsi="Calibri"/>
          <w:b/>
          <w:bCs/>
          <w:color w:val="174EA6"/>
          <w:sz w:val="18"/>
          <w:szCs w:val="18"/>
        </w:rPr>
        <w:t xml:space="preserve">CUÁNDO USAR CADA DIMENSIÓN</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5600"/>
        <w:gridCol w:w="3760"/>
      </w:tblGrid>
      <w:tr>
        <w:trPr>
          <w:tblHeader/>
        </w:trPr>
        <w:tc>
          <w:tcPr>
            <w:tcW w:type="dxa" w:w="5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Situación</w:t>
            </w:r>
          </w:p>
        </w:tc>
        <w:tc>
          <w:tcPr>
            <w:tcW w:type="dxa" w:w="37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Dimensión a usar</w:t>
            </w:r>
          </w:p>
        </w:tc>
      </w:tr>
      <w:tr>
        <w:tc>
          <w:tcPr>
            <w:tcW w:type="dxa" w:w="5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Reunión con dirección o informe mensual</w:t>
            </w:r>
          </w:p>
        </w:tc>
        <w:tc>
          <w:tcPr>
            <w:tcW w:type="dxa" w:w="3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Grupo de canales</w:t>
            </w:r>
          </w:p>
        </w:tc>
      </w:tr>
      <w:tr>
        <w:tc>
          <w:tcPr>
            <w:tcW w:type="dxa" w:w="5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Depurar por qué una campaña no atribuye</w:t>
            </w:r>
          </w:p>
        </w:tc>
        <w:tc>
          <w:tcPr>
            <w:tcW w:type="dxa" w:w="37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Fuente / medio</w:t>
            </w:r>
          </w:p>
        </w:tc>
      </w:tr>
      <w:tr>
        <w:tc>
          <w:tcPr>
            <w:tcW w:type="dxa" w:w="5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Comparar rendimiento entre canales</w:t>
            </w:r>
          </w:p>
        </w:tc>
        <w:tc>
          <w:tcPr>
            <w:tcW w:type="dxa" w:w="3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Grupo de canales</w:t>
            </w:r>
          </w:p>
        </w:tc>
      </w:tr>
      <w:tr>
        <w:tc>
          <w:tcPr>
            <w:tcW w:type="dxa" w:w="5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Verificar los UTM de un envío concreto</w:t>
            </w:r>
          </w:p>
        </w:tc>
        <w:tc>
          <w:tcPr>
            <w:tcW w:type="dxa" w:w="37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Fuente / medio</w:t>
            </w:r>
          </w:p>
        </w:tc>
      </w:tr>
      <w:tr>
        <w:tc>
          <w:tcPr>
            <w:tcW w:type="dxa" w:w="5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Presupuestar el trimestre</w:t>
            </w:r>
          </w:p>
        </w:tc>
        <w:tc>
          <w:tcPr>
            <w:tcW w:type="dxa" w:w="37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Grupo de canales</w:t>
            </w:r>
          </w:p>
        </w:tc>
      </w:tr>
    </w:tbl>
    <w:p>
      <w:pPr>
        <w:spacing w:after="120" w:before="0"/>
      </w:pPr>
      <w:r>
        <w:t xml:space="preserve"/>
      </w:r>
    </w:p>
    <w:tbl>
      <w:tblPr>
        <w:tblW w:type="dxa" w:w="9360"/>
        <w:tblBorders>
          <w:top w:val="single" w:color="E37400" w:sz="4"/>
          <w:left w:val="single" w:color="E37400" w:sz="24"/>
          <w:bottom w:val="single" w:color="E37400" w:sz="4"/>
          <w:right w:val="single" w:color="E37400"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E37400"/>
                <w:sz w:val="20"/>
                <w:szCs w:val="20"/>
              </w:rPr>
              <w:t xml:space="preserve">⚠️  Cuidado con Unassigned</w:t>
            </w:r>
          </w:p>
          <w:p>
            <w:pPr>
              <w:spacing w:after="0" w:before="0" w:line="260"/>
            </w:pPr>
            <w:r>
              <w:rPr>
                <w:rFonts w:ascii="Calibri" w:cs="Calibri" w:eastAsia="Calibri" w:hAnsi="Calibri"/>
                <w:color w:val="202124"/>
                <w:sz w:val="19"/>
                <w:szCs w:val="19"/>
              </w:rPr>
              <w:t xml:space="preserve">Si los UTM están mal montados, GA4 clasifica mal el canal. Un correo etiquetado con utm_medium=mail en lugar de email cae en Unassigned o en Referral. Cuando Unassigned aparece con volumen, el problema no está en GA4: está en las etiquetas de origen.</w:t>
            </w:r>
          </w:p>
        </w:tc>
      </w:tr>
    </w:tbl>
    <w:p>
      <w:pPr>
        <w:spacing w:after="80" w:before="200"/>
      </w:pPr>
      <w:r>
        <w:rPr>
          <w:rFonts w:ascii="Calibri" w:cs="Calibri" w:eastAsia="Calibri" w:hAnsi="Calibri"/>
          <w:b/>
          <w:bCs/>
          <w:color w:val="174EA6"/>
          <w:sz w:val="18"/>
          <w:szCs w:val="18"/>
        </w:rPr>
        <w:t xml:space="preserve">DECISIÓN</w:t>
      </w:r>
    </w:p>
    <w:p>
      <w:pPr>
        <w:spacing w:after="120" w:before="60" w:line="276"/>
      </w:pPr>
      <w:r>
        <w:rPr>
          <w:rFonts w:ascii="Calibri" w:cs="Calibri" w:eastAsia="Calibri" w:hAnsi="Calibri"/>
          <w:color w:val="202124"/>
          <w:sz w:val="21"/>
          <w:szCs w:val="21"/>
        </w:rPr>
        <w:t xml:space="preserve">Reasignar esfuerzo. El SEO trae visitas que no convierten; el correo convierte con menos volumen. Antes de pedir más tráfico orgánico hay que arreglar la conversión de las landings orgánicas.</w:t>
      </w:r>
    </w:p>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6. Cruces en el informe de Adquisición</w:t>
      </w:r>
    </w:p>
    <w:p>
      <w:pPr>
        <w:spacing w:after="120" w:before="60" w:line="276"/>
      </w:pPr>
      <w:r>
        <w:rPr>
          <w:rFonts w:ascii="Calibri" w:cs="Calibri" w:eastAsia="Calibri" w:hAnsi="Calibri"/>
          <w:color w:val="202124"/>
          <w:sz w:val="21"/>
          <w:szCs w:val="21"/>
        </w:rPr>
        <w:t xml:space="preserve">Adquisición responde a la pregunta de dónde viene la gente. Sus cruces sirven para entender el papel real de cada canal, más allá del volumen bruto.</w:t>
      </w:r>
    </w:p>
    <w:p>
      <w:pPr>
        <w:pStyle w:val="Heading2"/>
        <w:spacing w:after="140" w:before="280"/>
      </w:pPr>
      <w:r>
        <w:rPr>
          <w:rFonts w:ascii="Calibri" w:cs="Calibri" w:eastAsia="Calibri" w:hAnsi="Calibri"/>
          <w:b/>
          <w:bCs/>
          <w:color w:val="1A73E8"/>
          <w:sz w:val="26"/>
          <w:szCs w:val="26"/>
        </w:rPr>
        <w:t xml:space="preserve">6.1 Cruce 6 · Fuente/medio × Tipo de usuario</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¿Este canal me trae gente nueva o siempre la misma?</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Adquisición → Adquisición de tráfico → + → "Tipo de usuario nuevo o recurrente"</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900"/>
        <w:gridCol w:w="2400"/>
        <w:gridCol w:w="2030"/>
        <w:gridCol w:w="2030"/>
      </w:tblGrid>
      <w:tr>
        <w:trPr>
          <w:tblHeader/>
        </w:trPr>
        <w:tc>
          <w:tcPr>
            <w:tcW w:type="dxa" w:w="29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Fuente / medio</w:t>
            </w:r>
          </w:p>
        </w:tc>
        <w:tc>
          <w:tcPr>
            <w:tcW w:type="dxa" w:w="2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Tipo de usuario</w:t>
            </w:r>
          </w:p>
        </w:tc>
        <w:tc>
          <w:tcPr>
            <w:tcW w:type="dxa" w:w="20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c>
          <w:tcPr>
            <w:tcW w:type="dxa" w:w="20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Eventos clave</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google / organic</w:t>
            </w:r>
          </w:p>
        </w:tc>
        <w:tc>
          <w:tcPr>
            <w:tcW w:type="dxa" w:w="2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new</w:t>
            </w:r>
          </w:p>
        </w:tc>
        <w:tc>
          <w:tcPr>
            <w:tcW w:type="dxa" w:w="20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34</w:t>
            </w:r>
          </w:p>
        </w:tc>
        <w:tc>
          <w:tcPr>
            <w:tcW w:type="dxa" w:w="20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google / organic</w:t>
            </w:r>
          </w:p>
        </w:tc>
        <w:tc>
          <w:tcPr>
            <w:tcW w:type="dxa" w:w="2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returning</w:t>
            </w:r>
          </w:p>
        </w:tc>
        <w:tc>
          <w:tcPr>
            <w:tcW w:type="dxa" w:w="20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7</w:t>
            </w:r>
          </w:p>
        </w:tc>
        <w:tc>
          <w:tcPr>
            <w:tcW w:type="dxa" w:w="20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mailerlite / email</w:t>
            </w:r>
          </w:p>
        </w:tc>
        <w:tc>
          <w:tcPr>
            <w:tcW w:type="dxa" w:w="2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returning</w:t>
            </w:r>
          </w:p>
        </w:tc>
        <w:tc>
          <w:tcPr>
            <w:tcW w:type="dxa" w:w="20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13</w:t>
            </w:r>
          </w:p>
        </w:tc>
        <w:tc>
          <w:tcPr>
            <w:tcW w:type="dxa" w:w="20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w:t>
            </w:r>
          </w:p>
        </w:tc>
      </w:tr>
      <w:tr>
        <w:tc>
          <w:tcPr>
            <w:tcW w:type="dxa" w:w="2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mailerlite / email</w:t>
            </w:r>
          </w:p>
        </w:tc>
        <w:tc>
          <w:tcPr>
            <w:tcW w:type="dxa" w:w="2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new</w:t>
            </w:r>
          </w:p>
        </w:tc>
        <w:tc>
          <w:tcPr>
            <w:tcW w:type="dxa" w:w="20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w:t>
            </w:r>
          </w:p>
        </w:tc>
        <w:tc>
          <w:tcPr>
            <w:tcW w:type="dxa" w:w="20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0</w:t>
            </w:r>
          </w:p>
        </w:tc>
      </w:tr>
      <w:tr>
        <w:tc>
          <w:tcPr>
            <w:tcW w:type="dxa" w:w="2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(direct) / (none)</w:t>
            </w:r>
          </w:p>
        </w:tc>
        <w:tc>
          <w:tcPr>
            <w:tcW w:type="dxa" w:w="2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returning</w:t>
            </w:r>
          </w:p>
        </w:tc>
        <w:tc>
          <w:tcPr>
            <w:tcW w:type="dxa" w:w="20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9</w:t>
            </w:r>
          </w:p>
        </w:tc>
        <w:tc>
          <w:tcPr>
            <w:tcW w:type="dxa" w:w="20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w:t>
            </w:r>
          </w:p>
        </w:tc>
      </w:tr>
    </w:tbl>
    <w:p>
      <w:pPr>
        <w:spacing w:after="80" w:before="200"/>
      </w:pPr>
      <w:r>
        <w:rPr>
          <w:rFonts w:ascii="Calibri" w:cs="Calibri" w:eastAsia="Calibri" w:hAnsi="Calibri"/>
          <w:b/>
          <w:bCs/>
          <w:color w:val="174EA6"/>
          <w:sz w:val="18"/>
          <w:szCs w:val="18"/>
        </w:rPr>
        <w:t xml:space="preserve">LECTURA Y DECISIÓN</w:t>
      </w:r>
    </w:p>
    <w:p>
      <w:pPr>
        <w:spacing w:after="120" w:before="60" w:line="276"/>
      </w:pPr>
      <w:r>
        <w:rPr>
          <w:rFonts w:ascii="Calibri" w:cs="Calibri" w:eastAsia="Calibri" w:hAnsi="Calibri"/>
          <w:color w:val="202124"/>
          <w:sz w:val="21"/>
          <w:szCs w:val="21"/>
        </w:rPr>
        <w:t xml:space="preserve">Cada canal tiene un trabajo distinto. El orgánico capta (34 usuarios nuevos), el correo retiene y convierte (13 recurrentes y 2 eventos clave). Pedirle usuarios nuevos al email es exigirle algo que estructuralmente no puede dar.</w:t>
      </w:r>
    </w:p>
    <w:p>
      <w:pPr>
        <w:spacing w:after="120" w:before="60" w:line="276"/>
      </w:pPr>
      <w:r>
        <w:rPr>
          <w:rFonts w:ascii="Calibri" w:cs="Calibri" w:eastAsia="Calibri" w:hAnsi="Calibri"/>
          <w:color w:val="202124"/>
          <w:sz w:val="21"/>
          <w:szCs w:val="21"/>
        </w:rPr>
        <w:t xml:space="preserve">La decisión es dejar de medir todos los canales con el mismo indicador: al orgánico se le pide volumen de usuarios nuevos; al correo, tasa de conversión.</w:t>
      </w:r>
    </w:p>
    <w:p>
      <w:pPr>
        <w:pStyle w:val="Heading2"/>
        <w:spacing w:after="140" w:before="280"/>
      </w:pPr>
      <w:r>
        <w:rPr>
          <w:rFonts w:ascii="Calibri" w:cs="Calibri" w:eastAsia="Calibri" w:hAnsi="Calibri"/>
          <w:b/>
          <w:bCs/>
          <w:color w:val="1A73E8"/>
          <w:sz w:val="26"/>
          <w:szCs w:val="26"/>
        </w:rPr>
        <w:t xml:space="preserve">6.2 Cruce 7 · Campaña de la sesión × Página de destino</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¿Dónde aterriza la gente de cada campaña, y es donde yo quería?</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Adquisición → Adquisición de tráfico → dimensión principal "Campaña de la sesión" → + → "Página de destino"</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000"/>
        <w:gridCol w:w="4200"/>
        <w:gridCol w:w="2160"/>
      </w:tblGrid>
      <w:tr>
        <w:trPr>
          <w:tblHeader/>
        </w:trPr>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Campaña</w:t>
            </w:r>
          </w:p>
        </w:tc>
        <w:tc>
          <w:tcPr>
            <w:tcW w:type="dxa" w:w="42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Página de destino</w:t>
            </w:r>
          </w:p>
        </w:tc>
        <w:tc>
          <w:tcPr>
            <w:tcW w:type="dxa" w:w="21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newsletter-julio</w:t>
            </w:r>
          </w:p>
        </w:tc>
        <w:tc>
          <w:tcPr>
            <w:tcW w:type="dxa" w:w="4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/venta-de-casas-en-manresa</w:t>
            </w:r>
          </w:p>
        </w:tc>
        <w:tc>
          <w:tcPr>
            <w:tcW w:type="dxa" w:w="21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newsletter-julio</w:t>
            </w:r>
          </w:p>
        </w:tc>
        <w:tc>
          <w:tcPr>
            <w:tcW w:type="dxa" w:w="4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21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r>
      <w:tr>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(not set)</w:t>
            </w:r>
          </w:p>
        </w:tc>
        <w:tc>
          <w:tcPr>
            <w:tcW w:type="dxa" w:w="42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21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11</w:t>
            </w:r>
          </w:p>
        </w:tc>
      </w:tr>
      <w:tr>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(organic)</w:t>
            </w:r>
          </w:p>
        </w:tc>
        <w:tc>
          <w:tcPr>
            <w:tcW w:type="dxa" w:w="42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/inmobiliarias</w:t>
            </w:r>
          </w:p>
        </w:tc>
        <w:tc>
          <w:tcPr>
            <w:tcW w:type="dxa" w:w="21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r>
    </w:tbl>
    <w:p>
      <w:pPr>
        <w:spacing w:after="80" w:before="200"/>
      </w:pPr>
      <w:r>
        <w:rPr>
          <w:rFonts w:ascii="Calibri" w:cs="Calibri" w:eastAsia="Calibri" w:hAnsi="Calibri"/>
          <w:b/>
          <w:bCs/>
          <w:color w:val="174EA6"/>
          <w:sz w:val="18"/>
          <w:szCs w:val="18"/>
        </w:rPr>
        <w:t xml:space="preserve">LECTURA Y DECISIÓN</w:t>
      </w:r>
    </w:p>
    <w:p>
      <w:pPr>
        <w:spacing w:after="120" w:before="60" w:line="276"/>
      </w:pPr>
      <w:r>
        <w:rPr>
          <w:rFonts w:ascii="Calibri" w:cs="Calibri" w:eastAsia="Calibri" w:hAnsi="Calibri"/>
          <w:color w:val="202124"/>
          <w:sz w:val="21"/>
          <w:szCs w:val="21"/>
        </w:rPr>
        <w:t xml:space="preserve">Si la campaña newsletter-julio apuntaba únicamente a la página de venta de casas, esas tres sesiones que aterrizan en la home son gente que hizo clic en el logotipo de la cabecera del correo, no en el botón principal. El CTA no está funcionando como debería.</w:t>
      </w:r>
    </w:p>
    <w:p>
      <w:pPr>
        <w:spacing w:after="120" w:before="60" w:line="276"/>
      </w:pPr>
      <w:r>
        <w:rPr>
          <w:rFonts w:ascii="Calibri" w:cs="Calibri" w:eastAsia="Calibri" w:hAnsi="Calibri"/>
          <w:color w:val="202124"/>
          <w:sz w:val="21"/>
          <w:szCs w:val="21"/>
        </w:rPr>
        <w:t xml:space="preserve">Atención al valor (not set) en campaña: significa tráfico que llega sin parámetros UTM. Es normal en orgánico y directo, pero si aparece en un envío de correo, las etiquetas están mal puestas.</w:t>
      </w:r>
    </w:p>
    <w:p>
      <w:pPr>
        <w:pStyle w:val="Heading2"/>
        <w:spacing w:after="140" w:before="280"/>
      </w:pPr>
      <w:r>
        <w:rPr>
          <w:rFonts w:ascii="Calibri" w:cs="Calibri" w:eastAsia="Calibri" w:hAnsi="Calibri"/>
          <w:b/>
          <w:bCs/>
          <w:color w:val="1A73E8"/>
          <w:sz w:val="26"/>
          <w:szCs w:val="26"/>
        </w:rPr>
        <w:t xml:space="preserve">6.3 Cruce 8 · Grupo de canales × Página de destino en adquisición de usuarios</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¿Qué canal descubre a mis clientes, aunque después conviertan por otro?</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Adquisición → Adquisición de usuarios → + → "Página de destino"</w:t>
      </w:r>
    </w:p>
    <w:p>
      <w:pPr>
        <w:spacing w:after="120" w:before="60" w:line="276"/>
      </w:pPr>
      <w:r>
        <w:rPr>
          <w:rFonts w:ascii="Calibri" w:cs="Calibri" w:eastAsia="Calibri" w:hAnsi="Calibri"/>
          <w:color w:val="202124"/>
          <w:sz w:val="21"/>
          <w:szCs w:val="21"/>
        </w:rPr>
        <w:t xml:space="preserve">Este cruce sirve para enseñar la diferencia entre los dos informes de Adquisición, que se confunden constantemente porque tienen nombres casi idénticos.</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700"/>
        <w:gridCol w:w="3600"/>
        <w:gridCol w:w="3060"/>
      </w:tblGrid>
      <w:tr>
        <w:trPr>
          <w:tblHeader/>
        </w:trPr>
        <w:tc>
          <w:tcPr>
            <w:tcW w:type="dxa" w:w="27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Informe</w:t>
            </w:r>
          </w:p>
        </w:tc>
        <w:tc>
          <w:tcPr>
            <w:tcW w:type="dxa" w:w="3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Dimensión que utiliza</w:t>
            </w:r>
          </w:p>
        </w:tc>
        <w:tc>
          <w:tcPr>
            <w:tcW w:type="dxa" w:w="30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Pregunta que responde</w:t>
            </w:r>
          </w:p>
        </w:tc>
      </w:tr>
      <w:tr>
        <w:tc>
          <w:tcPr>
            <w:tcW w:type="dxa" w:w="2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Adquisición de usuarios</w:t>
            </w:r>
          </w:p>
        </w:tc>
        <w:tc>
          <w:tcPr>
            <w:tcW w:type="dxa" w:w="3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Fuente de la primera visita del usuario</w:t>
            </w:r>
          </w:p>
        </w:tc>
        <w:tc>
          <w:tcPr>
            <w:tcW w:type="dxa" w:w="30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¿Quién me descubrió?</w:t>
            </w:r>
          </w:p>
        </w:tc>
      </w:tr>
      <w:tr>
        <w:tc>
          <w:tcPr>
            <w:tcW w:type="dxa" w:w="2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Adquisición de tráfico</w:t>
            </w:r>
          </w:p>
        </w:tc>
        <w:tc>
          <w:tcPr>
            <w:tcW w:type="dxa" w:w="3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Fuente de cada sesión individual</w:t>
            </w:r>
          </w:p>
        </w:tc>
        <w:tc>
          <w:tcPr>
            <w:tcW w:type="dxa" w:w="30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¿Quién me trajo esta vez?</w:t>
            </w:r>
          </w:p>
        </w:tc>
      </w:tr>
    </w:tbl>
    <w:p>
      <w:pPr>
        <w:spacing w:after="120" w:before="0"/>
      </w:pPr>
      <w:r>
        <w:t xml:space="preserve"/>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Ninguno de los dos miente</w:t>
            </w:r>
          </w:p>
          <w:p>
            <w:pPr>
              <w:spacing w:after="0" w:before="0" w:line="260"/>
            </w:pPr>
            <w:r>
              <w:rPr>
                <w:rFonts w:ascii="Calibri" w:cs="Calibri" w:eastAsia="Calibri" w:hAnsi="Calibri"/>
                <w:color w:val="202124"/>
                <w:sz w:val="19"/>
                <w:szCs w:val="19"/>
              </w:rPr>
              <w:t xml:space="preserve">Un usuario descubierto por búsqueda orgánica que meses después convierte tras hacer clic en un correo aparecerá en un informe como Organic Search y en el otro como Email. Son dos preguntas distintas con dos respuestas correctas. Para valorar el SEO, mira adquisición de usuarios; para valorar campañas, adquisición de tráfico.</w:t>
            </w:r>
          </w:p>
        </w:tc>
      </w:tr>
    </w:tbl>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7. Cruces en el informe de Interacción</w:t>
      </w:r>
    </w:p>
    <w:p>
      <w:pPr>
        <w:spacing w:after="120" w:before="60" w:line="276"/>
      </w:pPr>
      <w:r>
        <w:rPr>
          <w:rFonts w:ascii="Calibri" w:cs="Calibri" w:eastAsia="Calibri" w:hAnsi="Calibri"/>
          <w:color w:val="202124"/>
          <w:sz w:val="21"/>
          <w:szCs w:val="21"/>
        </w:rPr>
        <w:t xml:space="preserve">Interacción responde a qué hace la gente una vez dentro. Sus cruces detectan tanto problemas de contenido como fallos de medición.</w:t>
      </w:r>
    </w:p>
    <w:p>
      <w:pPr>
        <w:pStyle w:val="Heading2"/>
        <w:spacing w:after="140" w:before="280"/>
      </w:pPr>
      <w:r>
        <w:rPr>
          <w:rFonts w:ascii="Calibri" w:cs="Calibri" w:eastAsia="Calibri" w:hAnsi="Calibri"/>
          <w:b/>
          <w:bCs/>
          <w:color w:val="1A73E8"/>
          <w:sz w:val="26"/>
          <w:szCs w:val="26"/>
        </w:rPr>
        <w:t xml:space="preserve">7.1 Cruce 9 · Ruta de página × Título de página</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¿Tengo URL duplicadas o títulos mal puestos?</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Interacción → Páginas y pantallas → + → "Título de la página"</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300"/>
        <w:gridCol w:w="3900"/>
        <w:gridCol w:w="2160"/>
      </w:tblGrid>
      <w:tr>
        <w:trPr>
          <w:tblHeader/>
        </w:trPr>
        <w:tc>
          <w:tcPr>
            <w:tcW w:type="dxa" w:w="33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Ruta de página</w:t>
            </w:r>
          </w:p>
        </w:tc>
        <w:tc>
          <w:tcPr>
            <w:tcW w:type="dxa" w:w="39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Título de la página</w:t>
            </w:r>
          </w:p>
        </w:tc>
        <w:tc>
          <w:tcPr>
            <w:tcW w:type="dxa" w:w="21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Vistas</w:t>
            </w:r>
          </w:p>
        </w:tc>
      </w:tr>
      <w:tr>
        <w:tc>
          <w:tcPr>
            <w:tcW w:type="dxa" w:w="33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3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Pisos en venta en Manresa</w:t>
            </w:r>
          </w:p>
        </w:tc>
        <w:tc>
          <w:tcPr>
            <w:tcW w:type="dxa" w:w="21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34</w:t>
            </w:r>
          </w:p>
        </w:tc>
      </w:tr>
      <w:tr>
        <w:tc>
          <w:tcPr>
            <w:tcW w:type="dxa" w:w="33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3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Pisos en venta en Manresa</w:t>
            </w:r>
          </w:p>
        </w:tc>
        <w:tc>
          <w:tcPr>
            <w:tcW w:type="dxa" w:w="21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w:t>
            </w:r>
          </w:p>
        </w:tc>
      </w:tr>
      <w:tr>
        <w:tc>
          <w:tcPr>
            <w:tcW w:type="dxa" w:w="33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/venta-de-pisos-en-manresa?page=2</w:t>
            </w:r>
          </w:p>
        </w:tc>
        <w:tc>
          <w:tcPr>
            <w:tcW w:type="dxa" w:w="3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Pisos en venta en Manresa</w:t>
            </w:r>
          </w:p>
        </w:tc>
        <w:tc>
          <w:tcPr>
            <w:tcW w:type="dxa" w:w="21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r>
      <w:tr>
        <w:tc>
          <w:tcPr>
            <w:tcW w:type="dxa" w:w="33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/contactar</w:t>
            </w:r>
          </w:p>
        </w:tc>
        <w:tc>
          <w:tcPr>
            <w:tcW w:type="dxa" w:w="39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Contacto | Pisos en Manresa</w:t>
            </w:r>
          </w:p>
        </w:tc>
        <w:tc>
          <w:tcPr>
            <w:tcW w:type="dxa" w:w="21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12</w:t>
            </w:r>
          </w:p>
        </w:tc>
      </w:tr>
      <w:tr>
        <w:tc>
          <w:tcPr>
            <w:tcW w:type="dxa" w:w="33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/contactar</w:t>
            </w:r>
          </w:p>
        </w:tc>
        <w:tc>
          <w:tcPr>
            <w:tcW w:type="dxa" w:w="39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Contactar</w:t>
            </w:r>
          </w:p>
        </w:tc>
        <w:tc>
          <w:tcPr>
            <w:tcW w:type="dxa" w:w="21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r>
    </w:tbl>
    <w:p>
      <w:pPr>
        <w:spacing w:after="80" w:before="200"/>
      </w:pPr>
      <w:r>
        <w:rPr>
          <w:rFonts w:ascii="Calibri" w:cs="Calibri" w:eastAsia="Calibri" w:hAnsi="Calibri"/>
          <w:b/>
          <w:bCs/>
          <w:color w:val="174EA6"/>
          <w:sz w:val="18"/>
          <w:szCs w:val="18"/>
        </w:rPr>
        <w:t xml:space="preserve">DOS PROBLEMAS DISTINTOS EN LA MISMA TABLA</w:t>
      </w:r>
    </w:p>
    <w:p>
      <w:pPr>
        <w:pStyle w:val="ListParagraph"/>
        <w:numPr>
          <w:ilvl w:val="0"/>
          <w:numId w:val="2"/>
        </w:numPr>
        <w:spacing w:after="60" w:before="40" w:line="260"/>
      </w:pPr>
      <w:r>
        <w:rPr>
          <w:rFonts w:ascii="Calibri" w:cs="Calibri" w:eastAsia="Calibri" w:hAnsi="Calibri"/>
          <w:color w:val="202124"/>
          <w:sz w:val="21"/>
          <w:szCs w:val="21"/>
        </w:rPr>
        <w:t xml:space="preserve">La misma página se contabiliza en tres filas por culpa de la barra final y el parámetro de paginación. Las 44 vistas reales aparecen fragmentadas en 34, 6 y 4, y ninguna refleja la realidad.</w:t>
      </w:r>
    </w:p>
    <w:p>
      <w:pPr>
        <w:pStyle w:val="ListParagraph"/>
        <w:numPr>
          <w:ilvl w:val="0"/>
          <w:numId w:val="2"/>
        </w:numPr>
        <w:spacing w:after="60" w:before="40" w:line="260"/>
      </w:pPr>
      <w:r>
        <w:rPr>
          <w:rFonts w:ascii="Calibri" w:cs="Calibri" w:eastAsia="Calibri" w:hAnsi="Calibri"/>
          <w:color w:val="202124"/>
          <w:sz w:val="21"/>
          <w:szCs w:val="21"/>
        </w:rPr>
        <w:t xml:space="preserve">/contactar tiene dos títulos distintos: alguien cambió la etiqueta title a mitad del periodo, o existe una versión en caché sirviendo contenido antiguo.</w:t>
      </w:r>
    </w:p>
    <w:p>
      <w:pPr>
        <w:spacing w:after="80" w:before="200"/>
      </w:pPr>
      <w:r>
        <w:rPr>
          <w:rFonts w:ascii="Calibri" w:cs="Calibri" w:eastAsia="Calibri" w:hAnsi="Calibri"/>
          <w:b/>
          <w:bCs/>
          <w:color w:val="174EA6"/>
          <w:sz w:val="18"/>
          <w:szCs w:val="18"/>
        </w:rPr>
        <w:t xml:space="preserve">DECISIÓN</w:t>
      </w:r>
    </w:p>
    <w:p>
      <w:pPr>
        <w:spacing w:after="120" w:before="60" w:line="276"/>
      </w:pPr>
      <w:r>
        <w:rPr>
          <w:rFonts w:ascii="Calibri" w:cs="Calibri" w:eastAsia="Calibri" w:hAnsi="Calibri"/>
          <w:color w:val="202124"/>
          <w:sz w:val="21"/>
          <w:szCs w:val="21"/>
        </w:rPr>
        <w:t xml:space="preserve">En Administrar → Flujos de datos → Configuración de etiquetas, excluir los parámetros de consulta irrelevantes. Y unificar el título en el CMS. Este cruce enlaza directamente con el bloque de SEO técnico: URL duplicadas en GA4 suelen significar contenido duplicado para Google.</w:t>
      </w:r>
    </w:p>
    <w:p>
      <w:pPr>
        <w:pStyle w:val="Heading2"/>
        <w:spacing w:after="140" w:before="280"/>
      </w:pPr>
      <w:r>
        <w:rPr>
          <w:rFonts w:ascii="Calibri" w:cs="Calibri" w:eastAsia="Calibri" w:hAnsi="Calibri"/>
          <w:b/>
          <w:bCs/>
          <w:color w:val="1A73E8"/>
          <w:sz w:val="26"/>
          <w:szCs w:val="26"/>
        </w:rPr>
        <w:t xml:space="preserve">7.2 Cruce 10 · Página de entrada × Página de salida</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¿Por dónde entran y por dónde se van?</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Explorar → Exploración de formato libre (no disponible en informes estándar)</w:t>
      </w:r>
    </w:p>
    <w:p>
      <w:pPr>
        <w:spacing w:after="120" w:before="60" w:line="276"/>
      </w:pPr>
      <w:r>
        <w:rPr>
          <w:rFonts w:ascii="Calibri" w:cs="Calibri" w:eastAsia="Calibri" w:hAnsi="Calibri"/>
          <w:color w:val="202124"/>
          <w:sz w:val="21"/>
          <w:szCs w:val="21"/>
        </w:rPr>
        <w:t xml:space="preserve">Este cruce sirve para justificar por qué existen las Exploraciones. Los informes estándar solo permiten una dimensión secundaria y no incluyen la página de salida; para cruzarlas hay que ir a Explorar, arrastrar ambas dimensiones a Filas y añadir Sesiones como métrica.</w:t>
      </w:r>
    </w:p>
    <w:p>
      <w:pPr>
        <w:spacing w:after="80" w:before="200"/>
      </w:pPr>
      <w:r>
        <w:rPr>
          <w:rFonts w:ascii="Calibri" w:cs="Calibri" w:eastAsia="Calibri" w:hAnsi="Calibri"/>
          <w:b/>
          <w:bCs/>
          <w:color w:val="174EA6"/>
          <w:sz w:val="18"/>
          <w:szCs w:val="18"/>
        </w:rPr>
        <w:t xml:space="preserve">LECTURA</w:t>
      </w:r>
    </w:p>
    <w:p>
      <w:pPr>
        <w:spacing w:after="120" w:before="60" w:line="276"/>
      </w:pPr>
      <w:r>
        <w:rPr>
          <w:rFonts w:ascii="Calibri" w:cs="Calibri" w:eastAsia="Calibri" w:hAnsi="Calibri"/>
          <w:color w:val="202124"/>
          <w:sz w:val="21"/>
          <w:szCs w:val="21"/>
        </w:rPr>
        <w:t xml:space="preserve">Si entran por una landing y salen por esa misma landing, no han navegado en absoluto. Si salen por /contactar sin que se registre un form_submit, el formulario los está expulsando y hay que revisarlo con el cruce 4.</w:t>
      </w:r>
    </w:p>
    <w:p>
      <w:pPr>
        <w:pStyle w:val="Heading2"/>
        <w:spacing w:after="140" w:before="280"/>
      </w:pPr>
      <w:r>
        <w:rPr>
          <w:rFonts w:ascii="Calibri" w:cs="Calibri" w:eastAsia="Calibri" w:hAnsi="Calibri"/>
          <w:b/>
          <w:bCs/>
          <w:color w:val="1A73E8"/>
          <w:sz w:val="26"/>
          <w:szCs w:val="26"/>
        </w:rPr>
        <w:t xml:space="preserve">7.3 Cruce 11 · Nombre del evento × Categoría de dispositivo</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¿Mi medición funciona igual en móvil que en escritorio?</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Interacción → Eventos → + → "Categoría de dispositivo"</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3400"/>
        <w:gridCol w:w="3000"/>
        <w:gridCol w:w="2960"/>
      </w:tblGrid>
      <w:tr>
        <w:trPr>
          <w:tblHeader/>
        </w:trPr>
        <w:tc>
          <w:tcPr>
            <w:tcW w:type="dxa" w:w="3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Nombre del evento</w:t>
            </w:r>
          </w:p>
        </w:tc>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Dispositivo</w:t>
            </w:r>
          </w:p>
        </w:tc>
        <w:tc>
          <w:tcPr>
            <w:tcW w:type="dxa" w:w="29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Recuento</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form_start</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desktop</w:t>
            </w:r>
          </w:p>
        </w:tc>
        <w:tc>
          <w:tcPr>
            <w:tcW w:type="dxa" w:w="29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8</w:t>
            </w:r>
          </w:p>
        </w:tc>
      </w:tr>
      <w:tr>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form_start</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mobile</w:t>
            </w:r>
          </w:p>
        </w:tc>
        <w:tc>
          <w:tcPr>
            <w:tcW w:type="dxa" w:w="29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w:t>
            </w:r>
          </w:p>
        </w:tc>
      </w:tr>
      <w:tr>
        <w:tc>
          <w:tcPr>
            <w:tcW w:type="dxa" w:w="3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contactar_cta_click</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mobile</w:t>
            </w:r>
          </w:p>
        </w:tc>
        <w:tc>
          <w:tcPr>
            <w:tcW w:type="dxa" w:w="29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12</w:t>
            </w:r>
          </w:p>
        </w:tc>
      </w:tr>
      <w:tr>
        <w:tc>
          <w:tcPr>
            <w:tcW w:type="dxa" w:w="3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contactar_cta_click</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desktop</w:t>
            </w:r>
          </w:p>
        </w:tc>
        <w:tc>
          <w:tcPr>
            <w:tcW w:type="dxa" w:w="29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r>
    </w:tbl>
    <w:p>
      <w:pPr>
        <w:spacing w:after="80" w:before="200"/>
      </w:pPr>
      <w:r>
        <w:rPr>
          <w:rFonts w:ascii="Calibri" w:cs="Calibri" w:eastAsia="Calibri" w:hAnsi="Calibri"/>
          <w:b/>
          <w:bCs/>
          <w:color w:val="174EA6"/>
          <w:sz w:val="18"/>
          <w:szCs w:val="18"/>
        </w:rPr>
        <w:t xml:space="preserve">LECTURA Y DECISIÓN</w:t>
      </w:r>
    </w:p>
    <w:p>
      <w:pPr>
        <w:spacing w:after="120" w:before="60" w:line="276"/>
      </w:pPr>
      <w:r>
        <w:rPr>
          <w:rFonts w:ascii="Calibri" w:cs="Calibri" w:eastAsia="Calibri" w:hAnsi="Calibri"/>
          <w:color w:val="202124"/>
          <w:sz w:val="21"/>
          <w:szCs w:val="21"/>
        </w:rPr>
        <w:t xml:space="preserve">Doce clics en el CTA desde el móvil pero un solo form_start. En escritorio la proporción es exactamente la inversa. Eso no es comportamiento humano: es un fallo de medición. El activador de GTM depende de un evento focus que en móvil se comporta de forma distinta, o el formulario móvil se carga dentro de un iframe que el contenedor no alcanza.</w:t>
      </w:r>
    </w:p>
    <w:p>
      <w:pPr>
        <w:spacing w:after="120" w:before="60" w:line="276"/>
      </w:pPr>
      <w:r>
        <w:rPr>
          <w:rFonts w:ascii="Calibri" w:cs="Calibri" w:eastAsia="Calibri" w:hAnsi="Calibri"/>
          <w:color w:val="202124"/>
          <w:sz w:val="21"/>
          <w:szCs w:val="21"/>
        </w:rPr>
        <w:t xml:space="preserve">Se verifica con el Modo de vista previa de GTM sobre un dispositivo real, nunca con el emulador de Chrome, que reproduce el tamaño de pantalla pero no el motor del navegador.</w:t>
      </w:r>
    </w:p>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8. Cruces en el resto de informes</w:t>
      </w:r>
    </w:p>
    <w:p>
      <w:pPr>
        <w:pStyle w:val="Heading2"/>
        <w:spacing w:after="140" w:before="280"/>
      </w:pPr>
      <w:r>
        <w:rPr>
          <w:rFonts w:ascii="Calibri" w:cs="Calibri" w:eastAsia="Calibri" w:hAnsi="Calibri"/>
          <w:b/>
          <w:bCs/>
          <w:color w:val="1A73E8"/>
          <w:sz w:val="26"/>
          <w:szCs w:val="26"/>
        </w:rPr>
        <w:t xml:space="preserve">8.1 Cruce 12 · Nombre del artículo × Fuente/medio (Monetización)</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¿Qué canal vende cada producto?</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Monetización → Compras de comercio electrónico → + → "Fuente / medio de la sesión"</w:t>
      </w:r>
    </w:p>
    <w:p>
      <w:pPr>
        <w:spacing w:after="120" w:before="60" w:line="276"/>
      </w:pPr>
      <w:r>
        <w:rPr>
          <w:rFonts w:ascii="Calibri" w:cs="Calibri" w:eastAsia="Calibri" w:hAnsi="Calibri"/>
          <w:color w:val="202124"/>
          <w:sz w:val="21"/>
          <w:szCs w:val="21"/>
        </w:rPr>
        <w:t xml:space="preserve">Los productos de precio alto suelen venderse a través de canales de confianza (correo, tráfico directo, búsqueda de marca), mientras que los de precio bajo se venden por impulso (redes sociales, campañas de pago). Si un producto caro solo vende a través de campañas de pago, el margen real puede estar en negativo aunque la facturación crezca.</w:t>
      </w:r>
    </w:p>
    <w:p>
      <w:pPr>
        <w:spacing w:after="120" w:before="60" w:line="276"/>
      </w:pPr>
      <w:r>
        <w:rPr>
          <w:rFonts w:ascii="Calibri" w:cs="Calibri" w:eastAsia="Calibri" w:hAnsi="Calibri"/>
          <w:color w:val="202124"/>
          <w:sz w:val="21"/>
          <w:szCs w:val="21"/>
        </w:rPr>
        <w:t xml:space="preserve">La decisión es calcular el retorno por producto y canal, no por campaña global. Una campaña rentable en conjunto puede estar perdiendo dinero en la mitad de su catálogo.</w:t>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Nota para la formación</w:t>
            </w:r>
          </w:p>
          <w:p>
            <w:pPr>
              <w:spacing w:after="0" w:before="0" w:line="260"/>
            </w:pPr>
            <w:r>
              <w:rPr>
                <w:rFonts w:ascii="Calibri" w:cs="Calibri" w:eastAsia="Calibri" w:hAnsi="Calibri"/>
                <w:color w:val="202124"/>
                <w:sz w:val="19"/>
                <w:szCs w:val="19"/>
              </w:rPr>
              <w:t xml:space="preserve">La propiedad pisosenmanresa no tiene comercio electrónico. Para ilustrar este cruce en clase conviene usar una propiedad con transacciones, o bien explicarlo sobre el evento de contacto tratando cada tipo de inmueble como si fuera un artículo.</w:t>
            </w:r>
          </w:p>
        </w:tc>
      </w:tr>
    </w:tbl>
    <w:p>
      <w:pPr>
        <w:pStyle w:val="Heading2"/>
        <w:spacing w:after="140" w:before="280"/>
      </w:pPr>
      <w:r>
        <w:rPr>
          <w:rFonts w:ascii="Calibri" w:cs="Calibri" w:eastAsia="Calibri" w:hAnsi="Calibri"/>
          <w:b/>
          <w:bCs/>
          <w:color w:val="1A73E8"/>
          <w:sz w:val="26"/>
          <w:szCs w:val="26"/>
        </w:rPr>
        <w:t xml:space="preserve">8.2 Cruce 13 · Cohorte × Grupo de canales (Retención)</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¿Qué canal me trae usuarios que vuelven?</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Explorar → Exploración de cohortes → desglose por "Grupo de canales de la primera sesión"</w:t>
      </w:r>
    </w:p>
    <w:p>
      <w:pPr>
        <w:spacing w:after="120" w:before="60" w:line="276"/>
      </w:pPr>
      <w:r>
        <w:rPr>
          <w:rFonts w:ascii="Calibri" w:cs="Calibri" w:eastAsia="Calibri" w:hAnsi="Calibri"/>
          <w:color w:val="202124"/>
          <w:sz w:val="21"/>
          <w:szCs w:val="21"/>
        </w:rPr>
        <w:t xml:space="preserve">El canal más barato para captar suele ser el peor para retener. Si un canal trae cien usuarios y a la semana siguiente vuelven dos, ese canal no está comprando clientes: está comprando visitas.</w:t>
      </w:r>
    </w:p>
    <w:p>
      <w:pPr>
        <w:spacing w:after="120" w:before="60" w:line="276"/>
      </w:pPr>
      <w:r>
        <w:rPr>
          <w:rFonts w:ascii="Calibri" w:cs="Calibri" w:eastAsia="Calibri" w:hAnsi="Calibri"/>
          <w:color w:val="202124"/>
          <w:sz w:val="21"/>
          <w:szCs w:val="21"/>
        </w:rPr>
        <w:t xml:space="preserve">La decisión es valorar los canales por retención a 7 y 30 días, no por coste por sesión. Un canal con coste por visita alto pero retención del 40 % es más rentable que uno barato con retención del 2 %.</w:t>
      </w:r>
    </w:p>
    <w:p>
      <w:pPr>
        <w:pStyle w:val="Heading2"/>
        <w:spacing w:after="140" w:before="280"/>
      </w:pPr>
      <w:r>
        <w:rPr>
          <w:rFonts w:ascii="Calibri" w:cs="Calibri" w:eastAsia="Calibri" w:hAnsi="Calibri"/>
          <w:b/>
          <w:bCs/>
          <w:color w:val="1A73E8"/>
          <w:sz w:val="26"/>
          <w:szCs w:val="26"/>
        </w:rPr>
        <w:t xml:space="preserve">8.3 Cruce 14 · Ciudad × Página de destino (Datos demográficos)</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¿Mi SEO local funciona donde debe?</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Usuario → Datos demográficos → Detalles demográficos → dimensión principal "Ciudad" → + → "Página de destino"</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600"/>
        <w:gridCol w:w="4400"/>
        <w:gridCol w:w="2360"/>
      </w:tblGrid>
      <w:tr>
        <w:trPr>
          <w:tblHeader/>
        </w:trPr>
        <w:tc>
          <w:tcPr>
            <w:tcW w:type="dxa" w:w="26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Ciudad</w:t>
            </w:r>
          </w:p>
        </w:tc>
        <w:tc>
          <w:tcPr>
            <w:tcW w:type="dxa" w:w="4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Página de destino</w:t>
            </w:r>
          </w:p>
        </w:tc>
        <w:tc>
          <w:tcPr>
            <w:tcW w:type="dxa" w:w="23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r>
      <w:tr>
        <w:tc>
          <w:tcPr>
            <w:tcW w:type="dxa" w:w="2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Manresa</w:t>
            </w:r>
          </w:p>
        </w:tc>
        <w:tc>
          <w:tcPr>
            <w:tcW w:type="dxa" w:w="4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23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14</w:t>
            </w:r>
          </w:p>
        </w:tc>
      </w:tr>
      <w:tr>
        <w:tc>
          <w:tcPr>
            <w:tcW w:type="dxa" w:w="2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Barcelona</w:t>
            </w:r>
          </w:p>
        </w:tc>
        <w:tc>
          <w:tcPr>
            <w:tcW w:type="dxa" w:w="4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/venta-de-pisos-en-manresa</w:t>
            </w:r>
          </w:p>
        </w:tc>
        <w:tc>
          <w:tcPr>
            <w:tcW w:type="dxa" w:w="23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9</w:t>
            </w:r>
          </w:p>
        </w:tc>
      </w:tr>
      <w:tr>
        <w:tc>
          <w:tcPr>
            <w:tcW w:type="dxa" w:w="26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Sabadell</w:t>
            </w:r>
          </w:p>
        </w:tc>
        <w:tc>
          <w:tcPr>
            <w:tcW w:type="dxa" w:w="4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/inmobiliarias</w:t>
            </w:r>
          </w:p>
        </w:tc>
        <w:tc>
          <w:tcPr>
            <w:tcW w:type="dxa" w:w="236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3</w:t>
            </w:r>
          </w:p>
        </w:tc>
      </w:tr>
      <w:tr>
        <w:tc>
          <w:tcPr>
            <w:tcW w:type="dxa" w:w="26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Terrassa</w:t>
            </w:r>
          </w:p>
        </w:tc>
        <w:tc>
          <w:tcPr>
            <w:tcW w:type="dxa" w:w="4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/venta-de-casas-en-manresa</w:t>
            </w:r>
          </w:p>
        </w:tc>
        <w:tc>
          <w:tcPr>
            <w:tcW w:type="dxa" w:w="236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w:t>
            </w:r>
          </w:p>
        </w:tc>
      </w:tr>
    </w:tbl>
    <w:p>
      <w:pPr>
        <w:spacing w:after="80" w:before="200"/>
      </w:pPr>
      <w:r>
        <w:rPr>
          <w:rFonts w:ascii="Calibri" w:cs="Calibri" w:eastAsia="Calibri" w:hAnsi="Calibri"/>
          <w:b/>
          <w:bCs/>
          <w:color w:val="174EA6"/>
          <w:sz w:val="18"/>
          <w:szCs w:val="18"/>
        </w:rPr>
        <w:t xml:space="preserve">LECTURA Y DECISIÓN</w:t>
      </w:r>
    </w:p>
    <w:p>
      <w:pPr>
        <w:spacing w:after="120" w:before="60" w:line="276"/>
      </w:pPr>
      <w:r>
        <w:rPr>
          <w:rFonts w:ascii="Calibri" w:cs="Calibri" w:eastAsia="Calibri" w:hAnsi="Calibri"/>
          <w:color w:val="202124"/>
          <w:sz w:val="21"/>
          <w:szCs w:val="21"/>
        </w:rPr>
        <w:t xml:space="preserve">Este cruce es especialmente valioso para un negocio local. Nueve sesiones desde Barcelona buscando vivienda en Manresa significa gente de la ciudad que quiere comprar fuera, probablemente por precio. Es un segmento real que el contenido actual no contempla en absoluto.</w:t>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Un cruce que genera una keyword</w:t>
            </w:r>
          </w:p>
          <w:p>
            <w:pPr>
              <w:spacing w:after="0" w:before="0" w:line="260"/>
            </w:pPr>
            <w:r>
              <w:rPr>
                <w:rFonts w:ascii="Calibri" w:cs="Calibri" w:eastAsia="Calibri" w:hAnsi="Calibri"/>
                <w:color w:val="202124"/>
                <w:sz w:val="19"/>
                <w:szCs w:val="19"/>
              </w:rPr>
              <w:t xml:space="preserve">La decisión aquí no es técnica sino de contenidos: crear una página del tipo "comprar en Manresa viviendo en Barcelona: cercanías, tiempos de trayecto y comparativa de precios". Un cruce de dimensiones acaba de producir una oportunidad de posicionamiento que ninguna herramienta de keywords habría sugerido.</w:t>
            </w:r>
          </w:p>
        </w:tc>
      </w:tr>
    </w:tbl>
    <w:p>
      <w:pPr>
        <w:pStyle w:val="Heading2"/>
        <w:spacing w:after="140" w:before="280"/>
      </w:pPr>
      <w:r>
        <w:rPr>
          <w:rFonts w:ascii="Calibri" w:cs="Calibri" w:eastAsia="Calibri" w:hAnsi="Calibri"/>
          <w:b/>
          <w:bCs/>
          <w:color w:val="1A73E8"/>
          <w:sz w:val="26"/>
          <w:szCs w:val="26"/>
        </w:rPr>
        <w:t xml:space="preserve">8.4 Cruce 15 · Idioma × Tasa de interacción</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¿Necesito una versión en otro idioma?</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Usuario → Datos demográficos → Detalles demográficos → dimensión "Idioma"</w:t>
      </w:r>
    </w:p>
    <w:p>
      <w:pPr>
        <w:spacing w:after="120" w:before="60" w:line="276"/>
      </w:pPr>
      <w:r>
        <w:rPr>
          <w:rFonts w:ascii="Calibri" w:cs="Calibri" w:eastAsia="Calibri" w:hAnsi="Calibri"/>
          <w:color w:val="202124"/>
          <w:sz w:val="21"/>
          <w:szCs w:val="21"/>
        </w:rPr>
        <w:t xml:space="preserve">Si un porcentaje relevante del tráfico llega con el navegador configurado en catalán o inglés y su tasa de interacción es la mitad que la del castellano, existe una barrera idiomática que cuesta conversiones. Por debajo del 3 % del tráfico total, la inversión en traducir no suele compensar; por encima del 15 % con peor rendimiento, es prioritario.</w:t>
      </w:r>
    </w:p>
    <w:p>
      <w:pPr>
        <w:pStyle w:val="Heading2"/>
        <w:spacing w:after="140" w:before="280"/>
      </w:pPr>
      <w:r>
        <w:rPr>
          <w:rFonts w:ascii="Calibri" w:cs="Calibri" w:eastAsia="Calibri" w:hAnsi="Calibri"/>
          <w:b/>
          <w:bCs/>
          <w:color w:val="1A73E8"/>
          <w:sz w:val="26"/>
          <w:szCs w:val="26"/>
        </w:rPr>
        <w:t xml:space="preserve">8.5 Cruce 16 · Navegador × Categoría de dispositivo (Tecnología)</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¿Mi web está rota en algún navegador concreto?</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Usuario → Tecnología → Detalles técnicos → + → "Categoría de dispositivo"</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2500"/>
        <w:gridCol w:w="2400"/>
        <w:gridCol w:w="2230"/>
        <w:gridCol w:w="2230"/>
      </w:tblGrid>
      <w:tr>
        <w:trPr>
          <w:tblHeader/>
        </w:trPr>
        <w:tc>
          <w:tcPr>
            <w:tcW w:type="dxa" w:w="25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Navegador</w:t>
            </w:r>
          </w:p>
        </w:tc>
        <w:tc>
          <w:tcPr>
            <w:tcW w:type="dxa" w:w="24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Dispositivo</w:t>
            </w:r>
          </w:p>
        </w:tc>
        <w:tc>
          <w:tcPr>
            <w:tcW w:type="dxa" w:w="22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Sesiones</w:t>
            </w:r>
          </w:p>
        </w:tc>
        <w:tc>
          <w:tcPr>
            <w:tcW w:type="dxa" w:w="223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Tasa de interacción</w:t>
            </w:r>
          </w:p>
        </w:tc>
      </w:tr>
      <w:tr>
        <w:tc>
          <w:tcPr>
            <w:tcW w:type="dxa" w:w="25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Chrome</w:t>
            </w:r>
          </w:p>
        </w:tc>
        <w:tc>
          <w:tcPr>
            <w:tcW w:type="dxa" w:w="2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mobile</w:t>
            </w:r>
          </w:p>
        </w:tc>
        <w:tc>
          <w:tcPr>
            <w:tcW w:type="dxa" w:w="22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28</w:t>
            </w:r>
          </w:p>
        </w:tc>
        <w:tc>
          <w:tcPr>
            <w:tcW w:type="dxa" w:w="22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54 %</w:t>
            </w:r>
          </w:p>
        </w:tc>
      </w:tr>
      <w:tr>
        <w:tc>
          <w:tcPr>
            <w:tcW w:type="dxa" w:w="25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Safari</w:t>
            </w:r>
          </w:p>
        </w:tc>
        <w:tc>
          <w:tcPr>
            <w:tcW w:type="dxa" w:w="2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mobile</w:t>
            </w:r>
          </w:p>
        </w:tc>
        <w:tc>
          <w:tcPr>
            <w:tcW w:type="dxa" w:w="22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19</w:t>
            </w:r>
          </w:p>
        </w:tc>
        <w:tc>
          <w:tcPr>
            <w:tcW w:type="dxa" w:w="22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21 %</w:t>
            </w:r>
          </w:p>
        </w:tc>
      </w:tr>
      <w:tr>
        <w:tc>
          <w:tcPr>
            <w:tcW w:type="dxa" w:w="25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Chrome</w:t>
            </w:r>
          </w:p>
        </w:tc>
        <w:tc>
          <w:tcPr>
            <w:tcW w:type="dxa" w:w="24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desktop</w:t>
            </w:r>
          </w:p>
        </w:tc>
        <w:tc>
          <w:tcPr>
            <w:tcW w:type="dxa" w:w="22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15</w:t>
            </w:r>
          </w:p>
        </w:tc>
        <w:tc>
          <w:tcPr>
            <w:tcW w:type="dxa" w:w="2230"/>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68 %</w:t>
            </w:r>
          </w:p>
        </w:tc>
      </w:tr>
      <w:tr>
        <w:tc>
          <w:tcPr>
            <w:tcW w:type="dxa" w:w="25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Safari</w:t>
            </w:r>
          </w:p>
        </w:tc>
        <w:tc>
          <w:tcPr>
            <w:tcW w:type="dxa" w:w="24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desktop</w:t>
            </w:r>
          </w:p>
        </w:tc>
        <w:tc>
          <w:tcPr>
            <w:tcW w:type="dxa" w:w="22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4</w:t>
            </w:r>
          </w:p>
        </w:tc>
        <w:tc>
          <w:tcPr>
            <w:tcW w:type="dxa" w:w="2230"/>
            <w:shd w:fill="F8F9FA" w:color="auto" w:val="clear"/>
            <w:tcMar>
              <w:top w:type="dxa" w:w="90"/>
              <w:left w:type="dxa" w:w="120"/>
              <w:bottom w:type="dxa" w:w="90"/>
              <w:right w:type="dxa" w:w="120"/>
            </w:tcMar>
            <w:vAlign w:val="center"/>
          </w:tcPr>
          <w:p>
            <w:pPr>
              <w:spacing w:after="0" w:before="0" w:line="250"/>
              <w:jc w:val="right"/>
            </w:pPr>
            <w:r>
              <w:rPr>
                <w:rFonts w:ascii="Calibri" w:cs="Calibri" w:eastAsia="Calibri" w:hAnsi="Calibri"/>
                <w:color w:val="202124"/>
                <w:sz w:val="19"/>
                <w:szCs w:val="19"/>
              </w:rPr>
              <w:t xml:space="preserve">65 %</w:t>
            </w:r>
          </w:p>
        </w:tc>
      </w:tr>
    </w:tbl>
    <w:p>
      <w:pPr>
        <w:spacing w:after="80" w:before="200"/>
      </w:pPr>
      <w:r>
        <w:rPr>
          <w:rFonts w:ascii="Calibri" w:cs="Calibri" w:eastAsia="Calibri" w:hAnsi="Calibri"/>
          <w:b/>
          <w:bCs/>
          <w:color w:val="174EA6"/>
          <w:sz w:val="18"/>
          <w:szCs w:val="18"/>
        </w:rPr>
        <w:t xml:space="preserve">LECTURA Y DECISIÓN</w:t>
      </w:r>
    </w:p>
    <w:p>
      <w:pPr>
        <w:spacing w:after="120" w:before="60" w:line="276"/>
      </w:pPr>
      <w:r>
        <w:rPr>
          <w:rFonts w:ascii="Calibri" w:cs="Calibri" w:eastAsia="Calibri" w:hAnsi="Calibri"/>
          <w:color w:val="202124"/>
          <w:sz w:val="21"/>
          <w:szCs w:val="21"/>
        </w:rPr>
        <w:t xml:space="preserve">Safari en móvil rinde un 21 % frente al 54 % de Chrome en móvil. El problema no es "el móvil" en general: es Safari sobre iPhone. Las causas habituales son una propiedad position: sticky que no funciona, un vídeo que no se autorreproduce, o cookies bloqueadas por la protección de seguimiento del navegador.</w:t>
      </w:r>
    </w:p>
    <w:tbl>
      <w:tblPr>
        <w:tblW w:type="dxa" w:w="9360"/>
        <w:tblBorders>
          <w:top w:val="single" w:color="E37400" w:sz="4"/>
          <w:left w:val="single" w:color="E37400" w:sz="24"/>
          <w:bottom w:val="single" w:color="E37400" w:sz="4"/>
          <w:right w:val="single" w:color="E37400"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E37400"/>
                <w:sz w:val="20"/>
                <w:szCs w:val="20"/>
              </w:rPr>
              <w:t xml:space="preserve">⚠️  Safari también distorsiona tus datos</w:t>
            </w:r>
          </w:p>
          <w:p>
            <w:pPr>
              <w:spacing w:after="0" w:before="0" w:line="260"/>
            </w:pPr>
            <w:r>
              <w:rPr>
                <w:rFonts w:ascii="Calibri" w:cs="Calibri" w:eastAsia="Calibri" w:hAnsi="Calibri"/>
                <w:color w:val="202124"/>
                <w:sz w:val="19"/>
                <w:szCs w:val="19"/>
              </w:rPr>
              <w:t xml:space="preserve">La protección inteligente contra el seguimiento limita la duración de las cookies propias a siete días. Eso significa que un mismo usuario de iPhone que vuelve a las tres semanas se contabiliza como usuario nuevo. Si tu audiencia es mayoritariamente iPhone, tus usuarios nuevos están inflados y tu retención infravalorada.</w:t>
            </w:r>
          </w:p>
        </w:tc>
      </w:tr>
    </w:tbl>
    <w:p>
      <w:pPr>
        <w:pStyle w:val="Heading2"/>
        <w:spacing w:after="140" w:before="280"/>
      </w:pPr>
      <w:r>
        <w:rPr>
          <w:rFonts w:ascii="Calibri" w:cs="Calibri" w:eastAsia="Calibri" w:hAnsi="Calibri"/>
          <w:b/>
          <w:bCs/>
          <w:color w:val="1A73E8"/>
          <w:sz w:val="26"/>
          <w:szCs w:val="26"/>
        </w:rPr>
        <w:t xml:space="preserve">8.6 Cruce 17 · Resolución de pantalla × Página de destino</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¿Mi contenido importante queda fuera de pantalla?</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Usuario → Tecnología → Detalles técnicos → dimensión "Resolución de pantalla" → + → "Página de destino"</w:t>
      </w:r>
    </w:p>
    <w:p>
      <w:pPr>
        <w:spacing w:after="120" w:before="60" w:line="276"/>
      </w:pPr>
      <w:r>
        <w:rPr>
          <w:rFonts w:ascii="Calibri" w:cs="Calibri" w:eastAsia="Calibri" w:hAnsi="Calibri"/>
          <w:color w:val="202124"/>
          <w:sz w:val="21"/>
          <w:szCs w:val="21"/>
        </w:rPr>
        <w:t xml:space="preserve">Si las resoluciones más pequeñas presentan sistemáticamente peor interacción en una landing concreta, el contenido decisivo (el precio, el botón de contacto, el formulario) está quedando por debajo del pliegue. Se contrasta con el evento scroll: si el porcentaje de usuarios que llega al 90 % de la página es bajo en esas resoluciones, la hipótesis se confirma.</w:t>
      </w:r>
    </w:p>
    <w:p>
      <w:pPr>
        <w:pStyle w:val="Heading2"/>
        <w:spacing w:after="140" w:before="280"/>
      </w:pPr>
      <w:r>
        <w:rPr>
          <w:rFonts w:ascii="Calibri" w:cs="Calibri" w:eastAsia="Calibri" w:hAnsi="Calibri"/>
          <w:b/>
          <w:bCs/>
          <w:color w:val="1A73E8"/>
          <w:sz w:val="26"/>
          <w:szCs w:val="26"/>
        </w:rPr>
        <w:t xml:space="preserve">8.7 Cruce 18 · Fuente/medio × Evento en Tiempo real</w:t>
      </w:r>
    </w:p>
    <w:p>
      <w:pPr>
        <w:spacing w:after="100" w:before="60" w:line="276"/>
      </w:pPr>
      <w:r>
        <w:rPr>
          <w:rFonts w:ascii="Calibri" w:cs="Calibri" w:eastAsia="Calibri" w:hAnsi="Calibri"/>
          <w:b/>
          <w:bCs/>
          <w:color w:val="174EA6"/>
          <w:sz w:val="21"/>
          <w:szCs w:val="21"/>
        </w:rPr>
        <w:t xml:space="preserve">Pregunta:  </w:t>
      </w:r>
      <w:r>
        <w:rPr>
          <w:rFonts w:ascii="Calibri" w:cs="Calibri" w:eastAsia="Calibri" w:hAnsi="Calibri"/>
          <w:i/>
          <w:iCs/>
          <w:color w:val="202124"/>
          <w:sz w:val="21"/>
          <w:szCs w:val="21"/>
        </w:rPr>
        <w:t xml:space="preserve">¿Está funcionando el envío que acabo de lanzar?</w:t>
      </w:r>
    </w:p>
    <w:p>
      <w:pPr>
        <w:pBdr>
          <w:top w:val="single" w:color="F1F3F4" w:sz="2" w:space="4"/>
          <w:bottom w:val="single" w:color="F1F3F4" w:sz="2" w:space="4"/>
          <w:left w:val="single" w:color="1A73E8" w:sz="18" w:space="6"/>
          <w:right w:val="single" w:color="F1F3F4" w:sz="2" w:space="4"/>
        </w:pBdr>
        <w:shd w:fill="F1F3F4" w:color="auto" w:val="clear"/>
        <w:spacing w:after="140" w:before="80"/>
      </w:pPr>
      <w:r>
        <w:rPr>
          <w:rFonts w:ascii="Calibri" w:cs="Calibri" w:eastAsia="Calibri" w:hAnsi="Calibri"/>
          <w:b/>
          <w:bCs/>
          <w:color w:val="174EA6"/>
          <w:sz w:val="16"/>
          <w:szCs w:val="16"/>
        </w:rPr>
        <w:t xml:space="preserve">RUTA   </w:t>
      </w:r>
      <w:r>
        <w:rPr>
          <w:rFonts w:ascii="Consolas" w:cs="Consolas" w:eastAsia="Consolas" w:hAnsi="Consolas"/>
          <w:color w:val="202124"/>
          <w:sz w:val="19"/>
          <w:szCs w:val="19"/>
        </w:rPr>
        <w:t xml:space="preserve">Informes → Tiempo real → clic sobre un valor de cualquier tarjeta</w:t>
      </w:r>
    </w:p>
    <w:p>
      <w:pPr>
        <w:spacing w:after="120" w:before="60" w:line="276"/>
      </w:pPr>
      <w:r>
        <w:rPr>
          <w:rFonts w:ascii="Calibri" w:cs="Calibri" w:eastAsia="Calibri" w:hAnsi="Calibri"/>
          <w:color w:val="202124"/>
          <w:sz w:val="21"/>
          <w:szCs w:val="21"/>
        </w:rPr>
        <w:t xml:space="preserve">Aquí la mecánica cambia y conviene advertirlo. En Tiempo real no existe el botón + para añadir dimensiones secundarias: se filtra haciendo clic sobre un valor concreto de cualquier tarjeta, y todo el informe se recalcula mostrando solo ese segmento.</w:t>
      </w:r>
    </w:p>
    <w:tbl>
      <w:tblPr>
        <w:tblW w:type="dxa" w:w="9360"/>
        <w:tblBorders>
          <w:top w:val="single" w:color="188038" w:sz="4"/>
          <w:left w:val="single" w:color="188038" w:sz="24"/>
          <w:bottom w:val="single" w:color="188038" w:sz="4"/>
          <w:right w:val="single" w:color="188038"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188038"/>
                <w:sz w:val="20"/>
                <w:szCs w:val="20"/>
              </w:rPr>
              <w:t xml:space="preserve">💡  El mejor cruce para una demostración en directo</w:t>
            </w:r>
          </w:p>
          <w:p>
            <w:pPr>
              <w:spacing w:after="0" w:before="0" w:line="260"/>
            </w:pPr>
            <w:r>
              <w:rPr>
                <w:rFonts w:ascii="Calibri" w:cs="Calibri" w:eastAsia="Calibri" w:hAnsi="Calibri"/>
                <w:color w:val="202124"/>
                <w:sz w:val="19"/>
                <w:szCs w:val="19"/>
              </w:rPr>
              <w:t xml:space="preserve">Lanza un correo de prueba delante de la clase, haz clic sobre mailerlite / email en la tarjeta de fuentes y verás únicamente esas sesiones y los eventos que van disparando en tiempo real. Es la forma más rápida de que los alumnos entiendan que los datos no son abstractos.</w:t>
            </w:r>
          </w:p>
        </w:tc>
      </w:tr>
    </w:tbl>
    <w:p>
      <w:r>
        <w:br w:type="page"/>
      </w:r>
    </w:p>
    <w:p>
      <w:pPr>
        <w:pStyle w:val="Heading1"/>
        <w:pBdr>
          <w:bottom w:val="single" w:color="1A73E8" w:sz="12" w:space="6"/>
        </w:pBdr>
        <w:spacing w:after="180" w:before="360"/>
      </w:pPr>
      <w:r>
        <w:rPr>
          <w:rFonts w:ascii="Calibri" w:cs="Calibri" w:eastAsia="Calibri" w:hAnsi="Calibri"/>
          <w:b/>
          <w:bCs/>
          <w:color w:val="174EA6"/>
          <w:sz w:val="32"/>
          <w:szCs w:val="32"/>
        </w:rPr>
        <w:t xml:space="preserve">9. Tabla resumen de los 18 cruces</w:t>
      </w:r>
    </w:p>
    <w:p>
      <w:pPr>
        <w:spacing w:after="120" w:before="60" w:line="276"/>
      </w:pPr>
      <w:r>
        <w:rPr>
          <w:rFonts w:ascii="Calibri" w:cs="Calibri" w:eastAsia="Calibri" w:hAnsi="Calibri"/>
          <w:color w:val="202124"/>
          <w:sz w:val="21"/>
          <w:szCs w:val="21"/>
        </w:rPr>
        <w:t xml:space="preserve">Referencia rápida para consultar durante la práctica.</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560"/>
        <w:gridCol w:w="3000"/>
        <w:gridCol w:w="1800"/>
        <w:gridCol w:w="4000"/>
      </w:tblGrid>
      <w:tr>
        <w:trPr>
          <w:tblHeader/>
        </w:trPr>
        <w:tc>
          <w:tcPr>
            <w:tcW w:type="dxa" w:w="5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w:t>
            </w:r>
          </w:p>
        </w:tc>
        <w:tc>
          <w:tcPr>
            <w:tcW w:type="dxa" w:w="3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Cruce</w:t>
            </w:r>
          </w:p>
        </w:tc>
        <w:tc>
          <w:tcPr>
            <w:tcW w:type="dxa" w:w="18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Informe</w:t>
            </w:r>
          </w:p>
        </w:tc>
        <w:tc>
          <w:tcPr>
            <w:tcW w:type="dxa" w:w="40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Qué diagnostica</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Landing × Fuente/medio</w:t>
            </w:r>
          </w:p>
        </w:tc>
        <w:tc>
          <w:tcPr>
            <w:tcW w:type="dxa" w:w="1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Interacción</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De dónde viene cada landing y cómo rinde</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2</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Landing × Dispositivo</w:t>
            </w:r>
          </w:p>
        </w:tc>
        <w:tc>
          <w:tcPr>
            <w:tcW w:type="dxa" w:w="1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Interacción</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Dónde falla la experiencia de usuario</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3</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Fuente/medio × País</w:t>
            </w:r>
          </w:p>
        </w:tc>
        <w:tc>
          <w:tcPr>
            <w:tcW w:type="dxa" w:w="1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Adquisición</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Calidad y limpieza del dato</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4</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Evento × Página</w:t>
            </w:r>
          </w:p>
        </w:tc>
        <w:tc>
          <w:tcPr>
            <w:tcW w:type="dxa" w:w="1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Interacción</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Errores de medición y fugas de formulario</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5</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Landing × Grupo de canales</w:t>
            </w:r>
          </w:p>
        </w:tc>
        <w:tc>
          <w:tcPr>
            <w:tcW w:type="dxa" w:w="1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Interacción</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Visión estratégica para dirección</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6</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Fuente/medio × Nuevo o recurrente</w:t>
            </w:r>
          </w:p>
        </w:tc>
        <w:tc>
          <w:tcPr>
            <w:tcW w:type="dxa" w:w="1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Adquisición</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Papel real de cada canal</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7</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Campaña × Landing</w:t>
            </w:r>
          </w:p>
        </w:tc>
        <w:tc>
          <w:tcPr>
            <w:tcW w:type="dxa" w:w="1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Adquisición</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Etiquetado UTM y eficacia de los CTA</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8</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Canal × Landing (usuarios)</w:t>
            </w:r>
          </w:p>
        </w:tc>
        <w:tc>
          <w:tcPr>
            <w:tcW w:type="dxa" w:w="1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Adquisición</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Canal de descubrimiento</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9</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Ruta × Título</w:t>
            </w:r>
          </w:p>
        </w:tc>
        <w:tc>
          <w:tcPr>
            <w:tcW w:type="dxa" w:w="1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Interacción</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URL duplicadas y títulos incoherentes</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10</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Entrada × Salida</w:t>
            </w:r>
          </w:p>
        </w:tc>
        <w:tc>
          <w:tcPr>
            <w:tcW w:type="dxa" w:w="1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Exploración</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Fugas en la navegación</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11</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Evento × Dispositivo</w:t>
            </w:r>
          </w:p>
        </w:tc>
        <w:tc>
          <w:tcPr>
            <w:tcW w:type="dxa" w:w="1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Interacción</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Medición rota en un dispositivo</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12</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Artículo × Fuente</w:t>
            </w:r>
          </w:p>
        </w:tc>
        <w:tc>
          <w:tcPr>
            <w:tcW w:type="dxa" w:w="1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Monetización</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Rentabilidad real por canal</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13</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Cohorte × Canal</w:t>
            </w:r>
          </w:p>
        </w:tc>
        <w:tc>
          <w:tcPr>
            <w:tcW w:type="dxa" w:w="1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Retención</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Calidad a largo plazo del canal</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14</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Ciudad × Landing</w:t>
            </w:r>
          </w:p>
        </w:tc>
        <w:tc>
          <w:tcPr>
            <w:tcW w:type="dxa" w:w="1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SEO local y nuevas oportunidades</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15</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Idioma × Interacción</w:t>
            </w:r>
          </w:p>
        </w:tc>
        <w:tc>
          <w:tcPr>
            <w:tcW w:type="dxa" w:w="1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Usuario</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Barrera idiomática</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16</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Navegador × Dispositivo</w:t>
            </w:r>
          </w:p>
        </w:tc>
        <w:tc>
          <w:tcPr>
            <w:tcW w:type="dxa" w:w="1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Tecnología</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Fallos de compatibilidad</w:t>
            </w:r>
          </w:p>
        </w:tc>
      </w:tr>
      <w:tr>
        <w:tc>
          <w:tcPr>
            <w:tcW w:type="dxa" w:w="5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17</w:t>
            </w:r>
          </w:p>
        </w:tc>
        <w:tc>
          <w:tcPr>
            <w:tcW w:type="dxa" w:w="3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Resolución × Landing</w:t>
            </w:r>
          </w:p>
        </w:tc>
        <w:tc>
          <w:tcPr>
            <w:tcW w:type="dxa" w:w="18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Tecnología</w:t>
            </w:r>
          </w:p>
        </w:tc>
        <w:tc>
          <w:tcPr>
            <w:tcW w:type="dxa" w:w="40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Contenido bajo el pliegue</w:t>
            </w:r>
          </w:p>
        </w:tc>
      </w:tr>
      <w:tr>
        <w:tc>
          <w:tcPr>
            <w:tcW w:type="dxa" w:w="5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18</w:t>
            </w:r>
          </w:p>
        </w:tc>
        <w:tc>
          <w:tcPr>
            <w:tcW w:type="dxa" w:w="3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Fuente × Evento</w:t>
            </w:r>
          </w:p>
        </w:tc>
        <w:tc>
          <w:tcPr>
            <w:tcW w:type="dxa" w:w="18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Tiempo real</w:t>
            </w:r>
          </w:p>
        </w:tc>
        <w:tc>
          <w:tcPr>
            <w:tcW w:type="dxa" w:w="40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Validación inmediata de campañas</w:t>
            </w:r>
          </w:p>
        </w:tc>
      </w:tr>
    </w:tbl>
    <w:p>
      <w:pPr>
        <w:pStyle w:val="Heading1"/>
        <w:pBdr>
          <w:bottom w:val="single" w:color="1A73E8" w:sz="12" w:space="6"/>
        </w:pBdr>
        <w:spacing w:after="180" w:before="360"/>
      </w:pPr>
      <w:r>
        <w:rPr>
          <w:rFonts w:ascii="Calibri" w:cs="Calibri" w:eastAsia="Calibri" w:hAnsi="Calibri"/>
          <w:b/>
          <w:bCs/>
          <w:color w:val="174EA6"/>
          <w:sz w:val="32"/>
          <w:szCs w:val="32"/>
        </w:rPr>
        <w:t xml:space="preserve">10. Los tres patrones que subyacen a todo</w:t>
      </w:r>
    </w:p>
    <w:p>
      <w:pPr>
        <w:spacing w:after="120" w:before="60" w:line="276"/>
      </w:pPr>
      <w:r>
        <w:rPr>
          <w:rFonts w:ascii="Calibri" w:cs="Calibri" w:eastAsia="Calibri" w:hAnsi="Calibri"/>
          <w:color w:val="202124"/>
          <w:sz w:val="21"/>
          <w:szCs w:val="21"/>
        </w:rPr>
        <w:t xml:space="preserve">Si el alumno se lleva una sola idea de este manual, que sea esta: los dieciocho cruces responden en realidad a uno de tres tipos de pregunta.</w:t>
      </w:r>
    </w:p>
    <w:p>
      <w:pPr>
        <w:pStyle w:val="Heading2"/>
        <w:spacing w:after="140" w:before="280"/>
      </w:pPr>
      <w:r>
        <w:rPr>
          <w:rFonts w:ascii="Calibri" w:cs="Calibri" w:eastAsia="Calibri" w:hAnsi="Calibri"/>
          <w:b/>
          <w:bCs/>
          <w:color w:val="1A73E8"/>
          <w:sz w:val="26"/>
          <w:szCs w:val="26"/>
        </w:rPr>
        <w:t xml:space="preserve">10.1 ¿Es real el dato?</w:t>
      </w:r>
    </w:p>
    <w:p>
      <w:pPr>
        <w:spacing w:after="120" w:before="60" w:line="276"/>
      </w:pPr>
      <w:r>
        <w:rPr>
          <w:rFonts w:ascii="Calibri" w:cs="Calibri" w:eastAsia="Calibri" w:hAnsi="Calibri"/>
          <w:color w:val="202124"/>
          <w:sz w:val="21"/>
          <w:szCs w:val="21"/>
        </w:rPr>
        <w:t xml:space="preserve">Cruces 3, 4, 9, 11 y 16. Se cruza con una dimensión técnica (país, dispositivo, navegador, ruta). Si la diferencia observada es imposible en términos de comportamiento humano, no estás ante un hallazgo: estás ante un fallo de medición.</w:t>
      </w:r>
    </w:p>
    <w:p>
      <w:pPr>
        <w:pStyle w:val="Heading2"/>
        <w:spacing w:after="140" w:before="280"/>
      </w:pPr>
      <w:r>
        <w:rPr>
          <w:rFonts w:ascii="Calibri" w:cs="Calibri" w:eastAsia="Calibri" w:hAnsi="Calibri"/>
          <w:b/>
          <w:bCs/>
          <w:color w:val="1A73E8"/>
          <w:sz w:val="26"/>
          <w:szCs w:val="26"/>
        </w:rPr>
        <w:t xml:space="preserve">10.2 ¿Quién se comporta de forma distinta?</w:t>
      </w:r>
    </w:p>
    <w:p>
      <w:pPr>
        <w:spacing w:after="120" w:before="60" w:line="276"/>
      </w:pPr>
      <w:r>
        <w:rPr>
          <w:rFonts w:ascii="Calibri" w:cs="Calibri" w:eastAsia="Calibri" w:hAnsi="Calibri"/>
          <w:color w:val="202124"/>
          <w:sz w:val="21"/>
          <w:szCs w:val="21"/>
        </w:rPr>
        <w:t xml:space="preserve">Cruces 1, 2, 6, 14 y 15. Se cruza con una dimensión de segmento. La premisa es que la media siempre esconde dos comportamientos opuestos que se anulan entre sí; el cruce los separa.</w:t>
      </w:r>
    </w:p>
    <w:p>
      <w:pPr>
        <w:pStyle w:val="Heading2"/>
        <w:spacing w:after="140" w:before="280"/>
      </w:pPr>
      <w:r>
        <w:rPr>
          <w:rFonts w:ascii="Calibri" w:cs="Calibri" w:eastAsia="Calibri" w:hAnsi="Calibri"/>
          <w:b/>
          <w:bCs/>
          <w:color w:val="1A73E8"/>
          <w:sz w:val="26"/>
          <w:szCs w:val="26"/>
        </w:rPr>
        <w:t xml:space="preserve">10.3 ¿Qué decido?</w:t>
      </w:r>
    </w:p>
    <w:p>
      <w:pPr>
        <w:spacing w:after="120" w:before="60" w:line="276"/>
      </w:pPr>
      <w:r>
        <w:rPr>
          <w:rFonts w:ascii="Calibri" w:cs="Calibri" w:eastAsia="Calibri" w:hAnsi="Calibri"/>
          <w:color w:val="202124"/>
          <w:sz w:val="21"/>
          <w:szCs w:val="21"/>
        </w:rPr>
        <w:t xml:space="preserve">Cruces 5, 7, 8, 12 y 13. Se cruza con una dimensión de negocio. Aquí es donde el análisis deja de ser un ejercicio y se convierte en presupuesto, calendario editorial o rediseño.</w:t>
      </w:r>
    </w:p>
    <w:p>
      <w:pPr>
        <w:spacing w:after="120" w:before="0"/>
      </w:pPr>
      <w:r>
        <w:t xml:space="preserve"/>
      </w:r>
    </w:p>
    <w:tbl>
      <w:tblPr>
        <w:tblW w:type="dxa" w:w="9360"/>
        <w:tblBorders>
          <w:top w:val="single" w:color="D93025" w:sz="4"/>
          <w:left w:val="single" w:color="D93025" w:sz="24"/>
          <w:bottom w:val="single" w:color="D93025" w:sz="4"/>
          <w:right w:val="single" w:color="D93025" w:sz="4"/>
          <w:insideH w:val="none"/>
          <w:insideV w:val="none"/>
        </w:tblBorders>
      </w:tblPr>
      <w:tblGrid>
        <w:gridCol w:w="9360"/>
      </w:tblGrid>
      <w:tr>
        <w:tc>
          <w:tcPr>
            <w:tcW w:type="dxa" w:w="9360"/>
            <w:shd w:fill="FAFAFA" w:color="auto" w:val="clear"/>
            <w:tcMar>
              <w:top w:type="dxa" w:w="140"/>
              <w:left w:type="dxa" w:w="180"/>
              <w:bottom w:type="dxa" w:w="140"/>
              <w:right w:type="dxa" w:w="160"/>
            </w:tcMar>
          </w:tcPr>
          <w:p>
            <w:pPr>
              <w:spacing w:after="60" w:before="0"/>
            </w:pPr>
            <w:r>
              <w:rPr>
                <w:rFonts w:ascii="Calibri" w:cs="Calibri" w:eastAsia="Calibri" w:hAnsi="Calibri"/>
                <w:b/>
                <w:bCs/>
                <w:color w:val="D93025"/>
                <w:sz w:val="20"/>
                <w:szCs w:val="20"/>
              </w:rPr>
              <w:t xml:space="preserve">⚠️  La consigna operativa</w:t>
            </w:r>
          </w:p>
          <w:p>
            <w:pPr>
              <w:spacing w:after="0" w:before="0" w:line="260"/>
            </w:pPr>
            <w:r>
              <w:rPr>
                <w:rFonts w:ascii="Calibri" w:cs="Calibri" w:eastAsia="Calibri" w:hAnsi="Calibri"/>
                <w:color w:val="202124"/>
                <w:sz w:val="19"/>
                <w:szCs w:val="19"/>
              </w:rPr>
              <w:t xml:space="preserve">Siempre en ese orden. Primero se limpia el dato, después se interpreta, y solo al final se decide. Un análisis de segmentación sobre datos sucios produce decisiones caras y equivocadas, y además convincentes, que es lo peligroso.</w:t>
            </w:r>
          </w:p>
        </w:tc>
      </w:tr>
    </w:tbl>
    <w:p>
      <w:pPr>
        <w:pStyle w:val="Heading1"/>
        <w:pBdr>
          <w:bottom w:val="single" w:color="1A73E8" w:sz="12" w:space="6"/>
        </w:pBdr>
        <w:spacing w:after="180" w:before="360"/>
      </w:pPr>
      <w:r>
        <w:rPr>
          <w:rFonts w:ascii="Calibri" w:cs="Calibri" w:eastAsia="Calibri" w:hAnsi="Calibri"/>
          <w:b/>
          <w:bCs/>
          <w:color w:val="174EA6"/>
          <w:sz w:val="32"/>
          <w:szCs w:val="32"/>
        </w:rPr>
        <w:t xml:space="preserve">11. Checklist antes de dar por bueno un cruce</w:t>
      </w:r>
    </w:p>
    <w:tbl>
      <w:tblPr>
        <w:tblW w:type="dxa" w:w="9360"/>
        <w:tblBorders>
          <w:top w:val="single" w:color="DADCE0" w:sz="4"/>
          <w:left w:val="single" w:color="DADCE0" w:sz="4"/>
          <w:bottom w:val="single" w:color="DADCE0" w:sz="4"/>
          <w:right w:val="single" w:color="DADCE0" w:sz="4"/>
          <w:insideH w:val="single" w:color="DADCE0" w:sz="4"/>
          <w:insideV w:val="single" w:color="DADCE0" w:sz="4"/>
        </w:tblBorders>
      </w:tblPr>
      <w:tblGrid>
        <w:gridCol w:w="700"/>
        <w:gridCol w:w="8660"/>
      </w:tblGrid>
      <w:tr>
        <w:trPr>
          <w:tblHeader/>
        </w:trPr>
        <w:tc>
          <w:tcPr>
            <w:tcW w:type="dxa" w:w="70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
            </w:r>
          </w:p>
        </w:tc>
        <w:tc>
          <w:tcPr>
            <w:tcW w:type="dxa" w:w="8660"/>
            <w:shd w:fill="1A73E8" w:color="auto" w:val="clear"/>
            <w:tcMar>
              <w:top w:type="dxa" w:w="90"/>
              <w:left w:type="dxa" w:w="120"/>
              <w:bottom w:type="dxa" w:w="90"/>
              <w:right w:type="dxa" w:w="120"/>
            </w:tcMar>
            <w:vAlign w:val="center"/>
          </w:tcPr>
          <w:p>
            <w:pPr>
              <w:spacing w:after="0" w:before="0" w:line="250"/>
            </w:pPr>
            <w:r>
              <w:rPr>
                <w:rFonts w:ascii="Calibri" w:cs="Calibri" w:eastAsia="Calibri" w:hAnsi="Calibri"/>
                <w:b/>
                <w:bCs/>
                <w:color w:val="FFFFFF"/>
                <w:sz w:val="19"/>
                <w:szCs w:val="19"/>
              </w:rPr>
              <w:t xml:space="preserve">Comprobación</w:t>
            </w:r>
          </w:p>
        </w:tc>
      </w:tr>
      <w:tr>
        <w:tc>
          <w:tcPr>
            <w:tcW w:type="dxa" w:w="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¿El rango de fechas es suficiente? Menos de 30 sesiones por fila no permite concluir nada</w:t>
            </w:r>
          </w:p>
        </w:tc>
      </w:tr>
      <w:tr>
        <w:tc>
          <w:tcPr>
            <w:tcW w:type="dxa" w:w="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¿He verificado el ámbito de ambas dimensiones (usuario, sesión o evento)?</w:t>
            </w:r>
          </w:p>
        </w:tc>
      </w:tr>
      <w:tr>
        <w:tc>
          <w:tcPr>
            <w:tcW w:type="dxa" w:w="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¿Hay filas (not set) o (other) con volumen significativo que deba investigar antes?</w:t>
            </w:r>
          </w:p>
        </w:tc>
      </w:tr>
      <w:tr>
        <w:tc>
          <w:tcPr>
            <w:tcW w:type="dxa" w:w="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¿He excluido el tráfico interno y el de bots evidentes?</w:t>
            </w:r>
          </w:p>
        </w:tc>
      </w:tr>
      <w:tr>
        <w:tc>
          <w:tcPr>
            <w:tcW w:type="dxa" w:w="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¿La diferencia que veo es explicable por comportamiento humano, o huele a fallo de medición?</w:t>
            </w:r>
          </w:p>
        </w:tc>
      </w:tr>
      <w:tr>
        <w:tc>
          <w:tcPr>
            <w:tcW w:type="dxa" w:w="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¿Aparece el icono de umbral de datos aplicado junto al rango de fechas?</w:t>
            </w:r>
          </w:p>
        </w:tc>
      </w:tr>
      <w:tr>
        <w:tc>
          <w:tcPr>
            <w:tcW w:type="dxa" w:w="70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¿He anotado la decisión que se deriva del hallazgo, o solo el hallazgo?</w:t>
            </w:r>
          </w:p>
        </w:tc>
      </w:tr>
      <w:tr>
        <w:tc>
          <w:tcPr>
            <w:tcW w:type="dxa" w:w="70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w:t>
            </w:r>
          </w:p>
        </w:tc>
        <w:tc>
          <w:tcPr>
            <w:tcW w:type="dxa" w:w="8660"/>
            <w:shd w:fill="F8F9FA" w:color="auto" w:val="clear"/>
            <w:tcMar>
              <w:top w:type="dxa" w:w="90"/>
              <w:left w:type="dxa" w:w="120"/>
              <w:bottom w:type="dxa" w:w="90"/>
              <w:right w:type="dxa" w:w="120"/>
            </w:tcMar>
            <w:vAlign w:val="center"/>
          </w:tcPr>
          <w:p>
            <w:pPr>
              <w:spacing w:after="0" w:before="0" w:line="250"/>
            </w:pPr>
            <w:r>
              <w:rPr>
                <w:rFonts w:ascii="Calibri" w:cs="Calibri" w:eastAsia="Calibri" w:hAnsi="Calibri"/>
                <w:color w:val="202124"/>
                <w:sz w:val="19"/>
                <w:szCs w:val="19"/>
              </w:rPr>
              <w:t xml:space="preserve">Si voy a repetir este análisis, ¿lo he guardado como Exploración o comparación?</w:t>
            </w:r>
          </w:p>
        </w:tc>
      </w:tr>
    </w:tbl>
    <w:p>
      <w:pPr>
        <w:spacing w:after="240" w:before="0"/>
      </w:pPr>
      <w:r>
        <w:t xml:space="preserve"/>
      </w:r>
    </w:p>
    <w:p>
      <w:pPr>
        <w:spacing w:after="120" w:before="60" w:line="276"/>
        <w:jc w:val="center"/>
      </w:pPr>
      <w:r>
        <w:rPr>
          <w:rFonts w:ascii="Calibri" w:cs="Calibri" w:eastAsia="Calibri" w:hAnsi="Calibri"/>
          <w:b/>
          <w:bCs/>
          <w:color w:val="174EA6"/>
          <w:sz w:val="21"/>
          <w:szCs w:val="21"/>
        </w:rPr>
        <w:t xml:space="preserve">Siguiente bloque: métricas. </w:t>
      </w:r>
      <w:r>
        <w:rPr>
          <w:rFonts w:ascii="Calibri" w:cs="Calibri" w:eastAsia="Calibri" w:hAnsi="Calibri"/>
          <w:i/>
          <w:iCs/>
          <w:color w:val="5F6368"/>
          <w:sz w:val="21"/>
          <w:szCs w:val="21"/>
        </w:rPr>
        <w:t xml:space="preserve">Una vez dominado el cruce de dimensiones, el paso natural es entender qué se mide dentro de cada cajón: la diferencia entre usuarios, usuarios activos y sesiones, y por qué las medias mienten sistemáticamente.</w:t>
      </w:r>
    </w:p>
    <w:sectPr>
      <w:headerReference w:type="default" r:id="rId7"/>
      <w:footerReference w:type="default" r:id="rId8"/>
      <w:pgSz w:w="11906" w:h="16838" w:orient="portrait"/>
      <w:pgMar w:top="1200" w:right="1273" w:bottom="1200" w:left="127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0868B"/>
        <w:sz w:val="16"/>
        <w:szCs w:val="16"/>
      </w:rPr>
      <w:t xml:space="preserve">Manual práctico  ·  </w:t>
    </w:r>
    <w:r>
      <w:rPr>
        <w:rFonts w:ascii="Calibri" w:cs="Calibri" w:eastAsia="Calibri" w:hAnsi="Calibri"/>
        <w:color w:val="8086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ADCE0" w:sz="4" w:space="4"/>
      </w:pBdr>
      <w:jc w:val="right"/>
    </w:pPr>
    <w:r>
      <w:rPr>
        <w:rFonts w:ascii="Calibri" w:cs="Calibri" w:eastAsia="Calibri" w:hAnsi="Calibri"/>
        <w:color w:val="80868B"/>
        <w:sz w:val="16"/>
        <w:szCs w:val="16"/>
      </w:rPr>
      <w:t xml:space="preserve">Dimensiones en Google Analytics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1A73E8"/>
        <w:sz w:val="18"/>
        <w:szCs w:val="18"/>
      </w:rPr>
    </w:lvl>
    <w:lvl w:ilvl="1" w15:tentative="1">
      <w:start w:val="1"/>
      <w:numFmt w:val="bullet"/>
      <w:lvlText w:val="○"/>
      <w:lvlJc w:val="left"/>
      <w:pPr>
        <w:ind w:left="900" w:hanging="260"/>
      </w:pPr>
      <w:rPr>
        <w:color w:val="1A73E8"/>
        <w:sz w:val="18"/>
        <w:szCs w:val="1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02124"/>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práctico de Dimensiones en Google Analytics 4</dc:title>
  <dc:creator>Formación Analítica Digital</dc:creator>
  <dc:description>Guía de cruces de dimensiones con 18 ejercicios resueltos</dc:description>
  <cp:lastModifiedBy>Un-named</cp:lastModifiedBy>
  <cp:revision>1</cp:revision>
  <dcterms:created xsi:type="dcterms:W3CDTF">2026-07-23T04:53:29.230Z</dcterms:created>
  <dcterms:modified xsi:type="dcterms:W3CDTF">2026-07-23T04:53:29.261Z</dcterms:modified>
</cp:coreProperties>
</file>

<file path=docProps/custom.xml><?xml version="1.0" encoding="utf-8"?>
<Properties xmlns="http://schemas.openxmlformats.org/officeDocument/2006/custom-properties" xmlns:vt="http://schemas.openxmlformats.org/officeDocument/2006/docPropsVTypes"/>
</file>